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15488" w14:textId="181A1E48" w:rsidR="0072728F" w:rsidRDefault="000934DE" w:rsidP="002204E3">
      <w:pPr>
        <w:pStyle w:val="Heading2"/>
      </w:pPr>
      <w:r>
        <w:t xml:space="preserve"> </w:t>
      </w:r>
      <w:r w:rsidR="0072728F">
        <w:t>TOWN OF SOUTH HERO, VERMONT</w:t>
      </w:r>
    </w:p>
    <w:p w14:paraId="6954C649" w14:textId="77777777" w:rsidR="0072728F" w:rsidRDefault="0072728F" w:rsidP="0072728F">
      <w:pPr>
        <w:spacing w:after="0"/>
        <w:jc w:val="center"/>
        <w:rPr>
          <w:b/>
          <w:sz w:val="28"/>
          <w:szCs w:val="28"/>
        </w:rPr>
      </w:pPr>
      <w:r>
        <w:rPr>
          <w:b/>
          <w:sz w:val="28"/>
          <w:szCs w:val="28"/>
        </w:rPr>
        <w:t>DEVELOPMENT REVIEW BOARD</w:t>
      </w:r>
    </w:p>
    <w:p w14:paraId="7447D966" w14:textId="22FB50DB" w:rsidR="0072728F" w:rsidRDefault="0072728F" w:rsidP="0072728F">
      <w:pPr>
        <w:spacing w:after="0"/>
        <w:jc w:val="center"/>
        <w:rPr>
          <w:b/>
          <w:sz w:val="28"/>
          <w:szCs w:val="28"/>
        </w:rPr>
      </w:pPr>
      <w:r>
        <w:rPr>
          <w:b/>
          <w:sz w:val="28"/>
          <w:szCs w:val="28"/>
        </w:rPr>
        <w:t>DECISION DATED April 24, 2024</w:t>
      </w:r>
    </w:p>
    <w:p w14:paraId="036C1A11" w14:textId="77777777" w:rsidR="0072728F" w:rsidRDefault="0072728F" w:rsidP="0072728F">
      <w:pPr>
        <w:spacing w:after="0"/>
        <w:jc w:val="center"/>
        <w:rPr>
          <w:b/>
          <w:sz w:val="28"/>
          <w:szCs w:val="28"/>
        </w:rPr>
      </w:pPr>
    </w:p>
    <w:p w14:paraId="6530A2F7" w14:textId="77777777" w:rsidR="0072728F" w:rsidRDefault="0072728F" w:rsidP="0072728F">
      <w:pPr>
        <w:spacing w:after="0"/>
        <w:jc w:val="center"/>
        <w:rPr>
          <w:b/>
        </w:rPr>
      </w:pPr>
    </w:p>
    <w:p w14:paraId="15E8BEB1" w14:textId="77777777" w:rsidR="0072728F" w:rsidRDefault="0072728F" w:rsidP="0072728F">
      <w:pPr>
        <w:spacing w:after="0"/>
        <w:rPr>
          <w:b/>
          <w:u w:val="single"/>
        </w:rPr>
      </w:pPr>
      <w:r>
        <w:rPr>
          <w:b/>
          <w:u w:val="single"/>
        </w:rPr>
        <w:t>APPLICANT</w:t>
      </w:r>
    </w:p>
    <w:p w14:paraId="1CE8416D" w14:textId="3F161C19" w:rsidR="0072728F" w:rsidRDefault="0072728F" w:rsidP="0072728F">
      <w:pPr>
        <w:spacing w:after="0"/>
        <w:rPr>
          <w:b/>
        </w:rPr>
      </w:pPr>
      <w:r>
        <w:rPr>
          <w:b/>
        </w:rPr>
        <w:t>Name:</w:t>
      </w:r>
      <w:r>
        <w:rPr>
          <w:b/>
        </w:rPr>
        <w:tab/>
      </w:r>
      <w:r>
        <w:rPr>
          <w:b/>
        </w:rPr>
        <w:tab/>
        <w:t>Eben Hill</w:t>
      </w:r>
    </w:p>
    <w:p w14:paraId="1522C41F" w14:textId="27760FFC" w:rsidR="0072728F" w:rsidRDefault="0072728F" w:rsidP="0072728F">
      <w:pPr>
        <w:spacing w:after="0"/>
        <w:rPr>
          <w:b/>
        </w:rPr>
      </w:pPr>
      <w:r>
        <w:rPr>
          <w:b/>
        </w:rPr>
        <w:t>Address:</w:t>
      </w:r>
      <w:r>
        <w:rPr>
          <w:b/>
        </w:rPr>
        <w:tab/>
        <w:t xml:space="preserve">57 Ferris St., St. Albans, VT 05478 </w:t>
      </w:r>
    </w:p>
    <w:p w14:paraId="71CAA4B6" w14:textId="77777777" w:rsidR="0072728F" w:rsidRDefault="0072728F" w:rsidP="0072728F">
      <w:pPr>
        <w:spacing w:after="0"/>
        <w:rPr>
          <w:b/>
        </w:rPr>
      </w:pPr>
    </w:p>
    <w:p w14:paraId="061DD6F4" w14:textId="77777777" w:rsidR="0072728F" w:rsidRDefault="0072728F" w:rsidP="0072728F">
      <w:pPr>
        <w:spacing w:after="0"/>
        <w:rPr>
          <w:b/>
          <w:u w:val="single"/>
        </w:rPr>
      </w:pPr>
      <w:r>
        <w:rPr>
          <w:b/>
          <w:u w:val="single"/>
        </w:rPr>
        <w:t>LANDOWNER</w:t>
      </w:r>
    </w:p>
    <w:p w14:paraId="41CBF36E" w14:textId="2E2403D6" w:rsidR="0072728F" w:rsidRDefault="0072728F" w:rsidP="0072728F">
      <w:pPr>
        <w:spacing w:after="0"/>
        <w:rPr>
          <w:b/>
        </w:rPr>
      </w:pPr>
      <w:r>
        <w:rPr>
          <w:b/>
        </w:rPr>
        <w:t xml:space="preserve">Name:  </w:t>
      </w:r>
      <w:r>
        <w:rPr>
          <w:b/>
        </w:rPr>
        <w:tab/>
      </w:r>
      <w:proofErr w:type="spellStart"/>
      <w:r>
        <w:rPr>
          <w:b/>
        </w:rPr>
        <w:t>Seganku</w:t>
      </w:r>
      <w:proofErr w:type="spellEnd"/>
      <w:r>
        <w:rPr>
          <w:b/>
        </w:rPr>
        <w:t xml:space="preserve"> A Vermont Partnership</w:t>
      </w:r>
    </w:p>
    <w:p w14:paraId="4846A3EB" w14:textId="77777777" w:rsidR="0072728F" w:rsidRDefault="0072728F" w:rsidP="0072728F">
      <w:pPr>
        <w:spacing w:after="0"/>
        <w:rPr>
          <w:b/>
        </w:rPr>
      </w:pPr>
    </w:p>
    <w:p w14:paraId="590B49DB" w14:textId="77777777" w:rsidR="0072728F" w:rsidRDefault="0072728F" w:rsidP="0072728F">
      <w:pPr>
        <w:spacing w:after="0"/>
        <w:rPr>
          <w:b/>
          <w:u w:val="single"/>
        </w:rPr>
      </w:pPr>
      <w:r>
        <w:rPr>
          <w:b/>
          <w:u w:val="single"/>
        </w:rPr>
        <w:t>APPLICATION</w:t>
      </w:r>
    </w:p>
    <w:p w14:paraId="211D4E72" w14:textId="59BB21C0" w:rsidR="0072728F" w:rsidRDefault="0072728F" w:rsidP="0072728F">
      <w:pPr>
        <w:spacing w:after="0"/>
        <w:ind w:left="1440" w:hanging="1440"/>
        <w:rPr>
          <w:b/>
        </w:rPr>
      </w:pPr>
      <w:r>
        <w:rPr>
          <w:b/>
        </w:rPr>
        <w:t>Type:</w:t>
      </w:r>
      <w:r>
        <w:rPr>
          <w:b/>
        </w:rPr>
        <w:tab/>
        <w:t>Setback Waiver for a Replacement Accessory Structure within the Lake Setback</w:t>
      </w:r>
    </w:p>
    <w:p w14:paraId="7C5736DD" w14:textId="77777777" w:rsidR="0072728F" w:rsidRDefault="0072728F" w:rsidP="0072728F">
      <w:pPr>
        <w:spacing w:after="0"/>
        <w:ind w:left="1440" w:hanging="1440"/>
        <w:rPr>
          <w:b/>
        </w:rPr>
      </w:pPr>
    </w:p>
    <w:p w14:paraId="38E0B91E" w14:textId="065C5C9E" w:rsidR="0072728F" w:rsidRDefault="0072728F" w:rsidP="0072728F">
      <w:pPr>
        <w:spacing w:after="0"/>
        <w:rPr>
          <w:b/>
        </w:rPr>
      </w:pPr>
      <w:r>
        <w:rPr>
          <w:b/>
        </w:rPr>
        <w:t>Number:</w:t>
      </w:r>
      <w:r>
        <w:rPr>
          <w:b/>
        </w:rPr>
        <w:tab/>
        <w:t>24-57-KF049</w:t>
      </w:r>
    </w:p>
    <w:p w14:paraId="202A7F0E" w14:textId="77777777" w:rsidR="0072728F" w:rsidRDefault="0072728F" w:rsidP="0072728F">
      <w:pPr>
        <w:spacing w:after="0"/>
        <w:rPr>
          <w:b/>
        </w:rPr>
      </w:pPr>
    </w:p>
    <w:p w14:paraId="1958F6AF" w14:textId="77777777" w:rsidR="0072728F" w:rsidRDefault="0072728F" w:rsidP="0072728F">
      <w:pPr>
        <w:spacing w:after="0"/>
        <w:rPr>
          <w:b/>
          <w:u w:val="single"/>
        </w:rPr>
      </w:pPr>
      <w:r>
        <w:rPr>
          <w:b/>
          <w:u w:val="single"/>
        </w:rPr>
        <w:t>PROPERTY</w:t>
      </w:r>
    </w:p>
    <w:p w14:paraId="04FC4CB4" w14:textId="18173E28" w:rsidR="0072728F" w:rsidRDefault="0072728F" w:rsidP="0072728F">
      <w:pPr>
        <w:spacing w:after="0"/>
        <w:rPr>
          <w:b/>
        </w:rPr>
      </w:pPr>
      <w:r>
        <w:rPr>
          <w:b/>
        </w:rPr>
        <w:t>Location:</w:t>
      </w:r>
      <w:r>
        <w:rPr>
          <w:b/>
        </w:rPr>
        <w:tab/>
        <w:t>49 Kibbe Farm Rd.</w:t>
      </w:r>
    </w:p>
    <w:p w14:paraId="5E17408C" w14:textId="77777777" w:rsidR="0072728F" w:rsidRDefault="0072728F" w:rsidP="0072728F">
      <w:pPr>
        <w:spacing w:after="0"/>
        <w:rPr>
          <w:b/>
        </w:rPr>
      </w:pPr>
    </w:p>
    <w:p w14:paraId="3D142CAD" w14:textId="3D1A73EB" w:rsidR="0072728F" w:rsidRDefault="0072728F" w:rsidP="0072728F">
      <w:pPr>
        <w:spacing w:after="0"/>
        <w:rPr>
          <w:b/>
        </w:rPr>
      </w:pPr>
      <w:r>
        <w:rPr>
          <w:b/>
        </w:rPr>
        <w:t>Hearing Date:  April 10, 2024</w:t>
      </w:r>
    </w:p>
    <w:p w14:paraId="4A02BF51" w14:textId="77777777" w:rsidR="0072728F" w:rsidRDefault="0072728F" w:rsidP="0072728F">
      <w:pPr>
        <w:spacing w:after="0"/>
        <w:rPr>
          <w:b/>
        </w:rPr>
      </w:pPr>
    </w:p>
    <w:p w14:paraId="6672516D" w14:textId="77777777" w:rsidR="0072728F" w:rsidRDefault="0072728F" w:rsidP="0072728F">
      <w:pPr>
        <w:spacing w:after="0"/>
        <w:rPr>
          <w:b/>
        </w:rPr>
      </w:pPr>
    </w:p>
    <w:p w14:paraId="4AAABBFB" w14:textId="47A1C5BD" w:rsidR="0072728F" w:rsidRDefault="0072728F" w:rsidP="0072728F">
      <w:pPr>
        <w:spacing w:after="0"/>
      </w:pPr>
      <w:r>
        <w:t xml:space="preserve">Eben Hill, representing </w:t>
      </w:r>
      <w:proofErr w:type="spellStart"/>
      <w:r>
        <w:t>Seganku</w:t>
      </w:r>
      <w:proofErr w:type="spellEnd"/>
      <w:r>
        <w:t xml:space="preserve"> </w:t>
      </w:r>
      <w:proofErr w:type="gramStart"/>
      <w:r>
        <w:t>A</w:t>
      </w:r>
      <w:proofErr w:type="gramEnd"/>
      <w:r>
        <w:t xml:space="preserve"> Vermont Partnership, submitted an application on February 29, 2024, requesting a setback waiver to replace a pre-existing, non-conforming </w:t>
      </w:r>
      <w:r w:rsidR="00DC709D">
        <w:t>lakefront cottage</w:t>
      </w:r>
      <w:r>
        <w:t xml:space="preserve"> </w:t>
      </w:r>
      <w:r w:rsidR="003743F6">
        <w:t>in</w:t>
      </w:r>
      <w:r>
        <w:t xml:space="preserve"> a location within the lake setback at 49 Kibbe Farm Rd.   Per Section 805 of the South Hero Development Regulations, a warning for the public hearing appeared in the March 20, </w:t>
      </w:r>
      <w:proofErr w:type="gramStart"/>
      <w:r>
        <w:t>2024</w:t>
      </w:r>
      <w:proofErr w:type="gramEnd"/>
      <w:r>
        <w:t xml:space="preserve"> issue of the Islander and was posted in the Town Office, the Post Office, and the Town Library, and abutters to the property were notified.  The hearing was held on </w:t>
      </w:r>
      <w:r w:rsidR="0000635E">
        <w:t>April 10</w:t>
      </w:r>
      <w:r>
        <w:t xml:space="preserve">, 2024.  The Applicant presented the application to the Board.  A list of those attending and participating in the hearings is included in the minutes.  </w:t>
      </w:r>
    </w:p>
    <w:p w14:paraId="12FA6FEB" w14:textId="77777777" w:rsidR="0072728F" w:rsidRDefault="0072728F" w:rsidP="0072728F">
      <w:pPr>
        <w:spacing w:after="0"/>
      </w:pPr>
    </w:p>
    <w:p w14:paraId="2CA434C8" w14:textId="77777777" w:rsidR="0072728F" w:rsidRDefault="0072728F" w:rsidP="0072728F">
      <w:pPr>
        <w:spacing w:after="0"/>
        <w:rPr>
          <w:b/>
        </w:rPr>
      </w:pPr>
      <w:proofErr w:type="gramStart"/>
      <w:r>
        <w:rPr>
          <w:b/>
        </w:rPr>
        <w:t>During the course of</w:t>
      </w:r>
      <w:proofErr w:type="gramEnd"/>
      <w:r>
        <w:rPr>
          <w:b/>
        </w:rPr>
        <w:t xml:space="preserve"> the hearing, the following exhibits were submitted:</w:t>
      </w:r>
    </w:p>
    <w:p w14:paraId="3289AF27" w14:textId="77777777" w:rsidR="0072728F" w:rsidRDefault="0072728F" w:rsidP="0072728F">
      <w:pPr>
        <w:spacing w:after="0"/>
        <w:rPr>
          <w:b/>
        </w:rPr>
      </w:pPr>
    </w:p>
    <w:p w14:paraId="6711447B" w14:textId="77777777" w:rsidR="0072728F" w:rsidRDefault="0072728F" w:rsidP="0072728F">
      <w:pPr>
        <w:pStyle w:val="ListParagraph"/>
        <w:numPr>
          <w:ilvl w:val="0"/>
          <w:numId w:val="1"/>
        </w:numPr>
        <w:spacing w:after="0"/>
      </w:pPr>
      <w:r>
        <w:t>Town of South Hero Development Regulations, effective September 13, 2021</w:t>
      </w:r>
    </w:p>
    <w:p w14:paraId="2FA59C2E" w14:textId="77777777" w:rsidR="0000635E" w:rsidRPr="0000635E" w:rsidRDefault="0000635E" w:rsidP="0000635E">
      <w:pPr>
        <w:pStyle w:val="ListParagraph"/>
        <w:numPr>
          <w:ilvl w:val="0"/>
          <w:numId w:val="1"/>
        </w:numPr>
        <w:spacing w:after="0"/>
        <w:rPr>
          <w:bCs/>
        </w:rPr>
      </w:pPr>
      <w:proofErr w:type="gramStart"/>
      <w:r w:rsidRPr="0000635E">
        <w:rPr>
          <w:bCs/>
        </w:rPr>
        <w:t>Site Plan by Buermann Engineering,</w:t>
      </w:r>
      <w:proofErr w:type="gramEnd"/>
      <w:r w:rsidRPr="0000635E">
        <w:rPr>
          <w:bCs/>
        </w:rPr>
        <w:t xml:space="preserve"> dated October 12, 2023; rec’d February 22, 2024.</w:t>
      </w:r>
    </w:p>
    <w:p w14:paraId="7F656873" w14:textId="43D02FF8" w:rsidR="0000635E" w:rsidRPr="0000635E" w:rsidRDefault="0000635E" w:rsidP="0000635E">
      <w:pPr>
        <w:pStyle w:val="ListParagraph"/>
        <w:numPr>
          <w:ilvl w:val="0"/>
          <w:numId w:val="1"/>
        </w:numPr>
        <w:spacing w:after="0"/>
        <w:rPr>
          <w:bCs/>
        </w:rPr>
      </w:pPr>
      <w:r w:rsidRPr="0000635E">
        <w:rPr>
          <w:bCs/>
        </w:rPr>
        <w:t>7 Photographs of existing structures and lot topography</w:t>
      </w:r>
      <w:r w:rsidR="008B5E10">
        <w:rPr>
          <w:bCs/>
        </w:rPr>
        <w:t>; rec</w:t>
      </w:r>
      <w:r w:rsidR="00297904">
        <w:rPr>
          <w:bCs/>
        </w:rPr>
        <w:t>’d February 22, 2024</w:t>
      </w:r>
      <w:r w:rsidRPr="0000635E">
        <w:rPr>
          <w:bCs/>
        </w:rPr>
        <w:t>.</w:t>
      </w:r>
    </w:p>
    <w:p w14:paraId="5C020F9D" w14:textId="3AA557FE" w:rsidR="0072728F" w:rsidRDefault="0072728F" w:rsidP="0072728F">
      <w:pPr>
        <w:pStyle w:val="ListParagraph"/>
        <w:numPr>
          <w:ilvl w:val="0"/>
          <w:numId w:val="1"/>
        </w:numPr>
        <w:spacing w:after="0"/>
        <w:rPr>
          <w:bCs/>
        </w:rPr>
      </w:pPr>
      <w:r>
        <w:rPr>
          <w:bCs/>
        </w:rPr>
        <w:t>Shoreland Protection Permit #</w:t>
      </w:r>
      <w:r w:rsidR="0000635E">
        <w:rPr>
          <w:bCs/>
        </w:rPr>
        <w:t>4172</w:t>
      </w:r>
      <w:r>
        <w:rPr>
          <w:bCs/>
        </w:rPr>
        <w:t xml:space="preserve">-SP, dated </w:t>
      </w:r>
      <w:r w:rsidR="0000635E">
        <w:rPr>
          <w:bCs/>
        </w:rPr>
        <w:t>February 16, 2024; rec’d February 22, 2024</w:t>
      </w:r>
      <w:r>
        <w:rPr>
          <w:bCs/>
        </w:rPr>
        <w:t>.</w:t>
      </w:r>
    </w:p>
    <w:p w14:paraId="52308038" w14:textId="5F97634E" w:rsidR="0072728F" w:rsidRDefault="0072728F" w:rsidP="0072728F">
      <w:pPr>
        <w:pStyle w:val="ListParagraph"/>
        <w:numPr>
          <w:ilvl w:val="0"/>
          <w:numId w:val="1"/>
        </w:numPr>
        <w:spacing w:after="0"/>
        <w:rPr>
          <w:b/>
        </w:rPr>
      </w:pPr>
      <w:r>
        <w:rPr>
          <w:bCs/>
        </w:rPr>
        <w:t xml:space="preserve">Warning Ad, Abutters’ Notice, and Hearing Letter for </w:t>
      </w:r>
      <w:r w:rsidR="0000635E">
        <w:rPr>
          <w:bCs/>
        </w:rPr>
        <w:t>April 10,</w:t>
      </w:r>
      <w:r>
        <w:rPr>
          <w:bCs/>
        </w:rPr>
        <w:t xml:space="preserve"> </w:t>
      </w:r>
      <w:proofErr w:type="gramStart"/>
      <w:r>
        <w:rPr>
          <w:bCs/>
        </w:rPr>
        <w:t>2024</w:t>
      </w:r>
      <w:proofErr w:type="gramEnd"/>
      <w:r>
        <w:rPr>
          <w:bCs/>
        </w:rPr>
        <w:t xml:space="preserve"> DRB hearing.</w:t>
      </w:r>
    </w:p>
    <w:p w14:paraId="29B3B771" w14:textId="1DB07030" w:rsidR="0072728F" w:rsidRDefault="0072728F" w:rsidP="0072728F">
      <w:pPr>
        <w:pStyle w:val="ListParagraph"/>
        <w:numPr>
          <w:ilvl w:val="0"/>
          <w:numId w:val="1"/>
        </w:numPr>
        <w:spacing w:after="0"/>
      </w:pPr>
      <w:r>
        <w:t xml:space="preserve">Staff report by Zoning Administrator for </w:t>
      </w:r>
      <w:r w:rsidR="0000635E">
        <w:t>April 10</w:t>
      </w:r>
      <w:r>
        <w:t xml:space="preserve">, </w:t>
      </w:r>
      <w:proofErr w:type="gramStart"/>
      <w:r>
        <w:t>2024</w:t>
      </w:r>
      <w:proofErr w:type="gramEnd"/>
      <w:r>
        <w:t xml:space="preserve"> hearing.</w:t>
      </w:r>
    </w:p>
    <w:p w14:paraId="52AD589E" w14:textId="066CD52E" w:rsidR="0072728F" w:rsidRDefault="0072728F" w:rsidP="0072728F">
      <w:pPr>
        <w:pStyle w:val="ListParagraph"/>
        <w:numPr>
          <w:ilvl w:val="0"/>
          <w:numId w:val="1"/>
        </w:numPr>
        <w:spacing w:after="0"/>
      </w:pPr>
      <w:r>
        <w:t xml:space="preserve">Minutes from the </w:t>
      </w:r>
      <w:r w:rsidR="0000635E">
        <w:t>April 10</w:t>
      </w:r>
      <w:r>
        <w:t xml:space="preserve">, </w:t>
      </w:r>
      <w:proofErr w:type="gramStart"/>
      <w:r>
        <w:t>2024</w:t>
      </w:r>
      <w:proofErr w:type="gramEnd"/>
      <w:r>
        <w:t xml:space="preserve"> DRB hearing.</w:t>
      </w:r>
    </w:p>
    <w:p w14:paraId="5F2D7858" w14:textId="77777777" w:rsidR="0072728F" w:rsidRDefault="0072728F" w:rsidP="0072728F">
      <w:pPr>
        <w:spacing w:after="0"/>
      </w:pPr>
    </w:p>
    <w:p w14:paraId="6E6EA4BA" w14:textId="7FEAB0D8" w:rsidR="0072728F" w:rsidRDefault="0072728F" w:rsidP="0072728F">
      <w:pPr>
        <w:spacing w:after="0"/>
        <w:rPr>
          <w:b/>
        </w:rPr>
      </w:pPr>
      <w:r>
        <w:lastRenderedPageBreak/>
        <w:t xml:space="preserve">Based on the application, supporting documents, and testimony of </w:t>
      </w:r>
      <w:r w:rsidR="0000635E">
        <w:t>Eben Hill</w:t>
      </w:r>
      <w:r>
        <w:t xml:space="preserve">, </w:t>
      </w:r>
      <w:r>
        <w:rPr>
          <w:b/>
        </w:rPr>
        <w:t>the Development Review Board makes the following Findings and enters the following decision:</w:t>
      </w:r>
    </w:p>
    <w:p w14:paraId="25B26ED4" w14:textId="77777777" w:rsidR="0072728F" w:rsidRDefault="0072728F" w:rsidP="0072728F">
      <w:pPr>
        <w:spacing w:after="0"/>
        <w:rPr>
          <w:b/>
        </w:rPr>
      </w:pPr>
    </w:p>
    <w:p w14:paraId="49528D36" w14:textId="77777777" w:rsidR="0072728F" w:rsidRDefault="0072728F" w:rsidP="0072728F">
      <w:pPr>
        <w:spacing w:after="0"/>
      </w:pPr>
      <w:r>
        <w:rPr>
          <w:b/>
        </w:rPr>
        <w:t xml:space="preserve">Findings: </w:t>
      </w:r>
    </w:p>
    <w:p w14:paraId="7F00346B" w14:textId="3A362A9E" w:rsidR="0072728F" w:rsidRDefault="0000635E" w:rsidP="0072728F">
      <w:pPr>
        <w:pStyle w:val="ListParagraph"/>
        <w:numPr>
          <w:ilvl w:val="0"/>
          <w:numId w:val="2"/>
        </w:numPr>
        <w:spacing w:after="0"/>
      </w:pPr>
      <w:r>
        <w:t>49 Kibbe Farm Rd.</w:t>
      </w:r>
      <w:r w:rsidR="0072728F">
        <w:t xml:space="preserve"> is a 0.</w:t>
      </w:r>
      <w:r>
        <w:t>87</w:t>
      </w:r>
      <w:r w:rsidR="0072728F">
        <w:t xml:space="preserve">-acre lot on </w:t>
      </w:r>
      <w:r>
        <w:t>Keeler Bay.</w:t>
      </w:r>
      <w:r w:rsidR="0072728F">
        <w:t xml:space="preserve">  The property is in the Shoreland zoning district.</w:t>
      </w:r>
      <w:r w:rsidR="00B0502E">
        <w:t xml:space="preserve"> Development is only on the west (lake) side of the </w:t>
      </w:r>
      <w:r w:rsidR="00BA5C16">
        <w:t xml:space="preserve">road.  A large hay field </w:t>
      </w:r>
      <w:r w:rsidR="00D6184E">
        <w:t>stretche</w:t>
      </w:r>
      <w:r w:rsidR="00803520">
        <w:t>s</w:t>
      </w:r>
      <w:r w:rsidR="00D6184E">
        <w:t xml:space="preserve"> along</w:t>
      </w:r>
      <w:r w:rsidR="007D58B8">
        <w:t xml:space="preserve"> the entire</w:t>
      </w:r>
      <w:r w:rsidR="00BA5C16">
        <w:t xml:space="preserve"> east side of Kibbe Farm Rd.</w:t>
      </w:r>
    </w:p>
    <w:p w14:paraId="45E7EAFA" w14:textId="243F6D3B" w:rsidR="0072728F" w:rsidRDefault="0072728F" w:rsidP="0072728F">
      <w:pPr>
        <w:pStyle w:val="ListParagraph"/>
        <w:numPr>
          <w:ilvl w:val="0"/>
          <w:numId w:val="2"/>
        </w:numPr>
        <w:spacing w:after="0"/>
      </w:pPr>
      <w:r>
        <w:t xml:space="preserve">The </w:t>
      </w:r>
      <w:r w:rsidR="001456DB">
        <w:t xml:space="preserve">155-ft. deep </w:t>
      </w:r>
      <w:r>
        <w:t xml:space="preserve">lot </w:t>
      </w:r>
      <w:r w:rsidR="0000635E">
        <w:t>has a steep slope from the road to the lake.</w:t>
      </w:r>
      <w:r>
        <w:t xml:space="preserve">  The</w:t>
      </w:r>
      <w:r w:rsidR="0000635E">
        <w:t xml:space="preserve">re are 4 </w:t>
      </w:r>
      <w:r w:rsidR="00FD5C08">
        <w:t xml:space="preserve">camp </w:t>
      </w:r>
      <w:r w:rsidR="0000635E">
        <w:t>structures – a larger camp dwelling and 3 smaller c</w:t>
      </w:r>
      <w:r w:rsidR="00FD5C08">
        <w:t>ottages</w:t>
      </w:r>
      <w:r w:rsidR="006C1D95">
        <w:t xml:space="preserve"> --</w:t>
      </w:r>
      <w:r w:rsidR="001456DB">
        <w:t xml:space="preserve"> in addition to 2 storage sheds, a deck, and lake access stairs.</w:t>
      </w:r>
      <w:r>
        <w:t xml:space="preserve">  The elevation of the lot drops </w:t>
      </w:r>
      <w:r w:rsidR="0000635E">
        <w:t xml:space="preserve">from </w:t>
      </w:r>
      <w:r w:rsidR="001456DB">
        <w:t>1</w:t>
      </w:r>
      <w:r w:rsidR="000B292C">
        <w:t>40</w:t>
      </w:r>
      <w:r w:rsidR="001456DB">
        <w:t xml:space="preserve"> feet to approx. 108 feet at the top of the bank above the lake.  The lot is partially wooded with mature trees and has several retaining walls</w:t>
      </w:r>
      <w:r w:rsidR="00911C3F">
        <w:t xml:space="preserve"> scattered </w:t>
      </w:r>
      <w:r w:rsidR="008056F9">
        <w:t>within the slope</w:t>
      </w:r>
      <w:r w:rsidR="001456DB">
        <w:t>.</w:t>
      </w:r>
    </w:p>
    <w:p w14:paraId="0751E9FE" w14:textId="5FA02FA2" w:rsidR="0074187D" w:rsidRDefault="0072728F" w:rsidP="0072728F">
      <w:pPr>
        <w:pStyle w:val="ListParagraph"/>
        <w:numPr>
          <w:ilvl w:val="0"/>
          <w:numId w:val="2"/>
        </w:numPr>
        <w:spacing w:after="0"/>
      </w:pPr>
      <w:r>
        <w:t xml:space="preserve">The </w:t>
      </w:r>
      <w:r w:rsidR="00FD5C08">
        <w:t>Applicant proposes to remove an existing cottage (identified as Cottage #2 on the site plan) that has become unsafe due to erosion beneath and along the bank</w:t>
      </w:r>
      <w:r w:rsidR="00E3575D">
        <w:t xml:space="preserve"> above the lake</w:t>
      </w:r>
      <w:r w:rsidR="00FD5C08">
        <w:t xml:space="preserve">.  The cottage has not been used in 2 years because of the unsafe conditions.  </w:t>
      </w:r>
    </w:p>
    <w:p w14:paraId="6D2E4745" w14:textId="3EB34839" w:rsidR="0072728F" w:rsidRDefault="0074187D" w:rsidP="0072728F">
      <w:pPr>
        <w:pStyle w:val="ListParagraph"/>
        <w:numPr>
          <w:ilvl w:val="0"/>
          <w:numId w:val="2"/>
        </w:numPr>
        <w:spacing w:after="0"/>
      </w:pPr>
      <w:r>
        <w:t>The cottage</w:t>
      </w:r>
      <w:r w:rsidR="00FD5C08">
        <w:t xml:space="preserve"> is </w:t>
      </w:r>
      <w:r w:rsidR="000B292C">
        <w:t>approx. 27</w:t>
      </w:r>
      <w:r w:rsidR="00FD5C08">
        <w:t xml:space="preserve"> feet from the mean level of the lake, within the 75-ft. lake setback.  The </w:t>
      </w:r>
      <w:r w:rsidR="00BA69E0">
        <w:t xml:space="preserve">proposed </w:t>
      </w:r>
      <w:r w:rsidR="00FD5C08">
        <w:t>location for a replacement cottage is 20 feet to the east and 2 feet north of the current location.  This will minimize the need to remove several existing trees</w:t>
      </w:r>
      <w:r w:rsidR="000B292C">
        <w:t xml:space="preserve"> and will avoid steeper slopes</w:t>
      </w:r>
      <w:r w:rsidR="00093A7F">
        <w:t xml:space="preserve"> and retaining walls</w:t>
      </w:r>
      <w:r>
        <w:t xml:space="preserve"> but will still be within the lake setback.</w:t>
      </w:r>
    </w:p>
    <w:p w14:paraId="1196C774" w14:textId="5F48BB0D" w:rsidR="0074187D" w:rsidRDefault="0074187D" w:rsidP="0072728F">
      <w:pPr>
        <w:pStyle w:val="ListParagraph"/>
        <w:numPr>
          <w:ilvl w:val="0"/>
          <w:numId w:val="2"/>
        </w:numPr>
        <w:spacing w:after="0"/>
      </w:pPr>
      <w:r>
        <w:t>The existing 14’x11’ cottage ha</w:t>
      </w:r>
      <w:r w:rsidR="000B292C">
        <w:t>s</w:t>
      </w:r>
      <w:r>
        <w:t xml:space="preserve"> a deck on 2 sides, </w:t>
      </w:r>
      <w:r w:rsidR="000B292C">
        <w:t xml:space="preserve">further </w:t>
      </w:r>
      <w:r>
        <w:t>increasing the footprint</w:t>
      </w:r>
      <w:r w:rsidR="000B292C">
        <w:t xml:space="preserve"> of the structure</w:t>
      </w:r>
      <w:r>
        <w:t xml:space="preserve">.  The replacement cottage will </w:t>
      </w:r>
      <w:r w:rsidR="000B292C">
        <w:t>replicate the existing one but will not include the</w:t>
      </w:r>
      <w:r>
        <w:t xml:space="preserve"> deck.</w:t>
      </w:r>
      <w:r w:rsidR="000B292C">
        <w:t xml:space="preserve"> </w:t>
      </w:r>
    </w:p>
    <w:p w14:paraId="1306B677" w14:textId="0703608B" w:rsidR="000B292C" w:rsidRDefault="000B292C" w:rsidP="0072728F">
      <w:pPr>
        <w:pStyle w:val="ListParagraph"/>
        <w:numPr>
          <w:ilvl w:val="0"/>
          <w:numId w:val="2"/>
        </w:numPr>
        <w:spacing w:after="0"/>
      </w:pPr>
      <w:r>
        <w:t>The replacement cottage will no longer be connected to a shared septic system with the other 2 cottages.</w:t>
      </w:r>
    </w:p>
    <w:p w14:paraId="11BF5850" w14:textId="5F68B3C0" w:rsidR="000B292C" w:rsidRDefault="00C063E9" w:rsidP="0072728F">
      <w:pPr>
        <w:pStyle w:val="ListParagraph"/>
        <w:numPr>
          <w:ilvl w:val="0"/>
          <w:numId w:val="2"/>
        </w:numPr>
        <w:spacing w:after="0"/>
      </w:pPr>
      <w:r>
        <w:t>After the removal of the existing cottage, the Applicant intends to plant native vegetation to mitigate additional erosion.  The Applicant’s S</w:t>
      </w:r>
      <w:r w:rsidR="004C2F93">
        <w:t>horeland Protection</w:t>
      </w:r>
      <w:r>
        <w:t xml:space="preserve"> permit includes adding rip rap along the shoreline to control erosion.  This application is for </w:t>
      </w:r>
      <w:r w:rsidR="00C14A6C">
        <w:t xml:space="preserve">relocating </w:t>
      </w:r>
      <w:r>
        <w:t>Cottage #2 only.</w:t>
      </w:r>
    </w:p>
    <w:p w14:paraId="5D21097C" w14:textId="77777777" w:rsidR="0072728F" w:rsidRDefault="0072728F" w:rsidP="0072728F">
      <w:pPr>
        <w:spacing w:after="0"/>
      </w:pPr>
    </w:p>
    <w:p w14:paraId="5775C472" w14:textId="77777777" w:rsidR="0072728F" w:rsidRDefault="0072728F" w:rsidP="0072728F">
      <w:pPr>
        <w:spacing w:after="0"/>
        <w:rPr>
          <w:b/>
        </w:rPr>
      </w:pPr>
    </w:p>
    <w:p w14:paraId="5BFE208E" w14:textId="77777777" w:rsidR="0072728F" w:rsidRDefault="0072728F" w:rsidP="0072728F">
      <w:pPr>
        <w:spacing w:after="0"/>
        <w:rPr>
          <w:b/>
        </w:rPr>
      </w:pPr>
      <w:r>
        <w:rPr>
          <w:b/>
        </w:rPr>
        <w:t>Conclusions of Law:</w:t>
      </w:r>
    </w:p>
    <w:p w14:paraId="3F33CAF1" w14:textId="77777777" w:rsidR="0072728F" w:rsidRDefault="0072728F" w:rsidP="0072728F">
      <w:pPr>
        <w:pStyle w:val="ListParagraph"/>
        <w:spacing w:after="0"/>
        <w:ind w:left="1440"/>
        <w:rPr>
          <w:b/>
        </w:rPr>
      </w:pPr>
    </w:p>
    <w:p w14:paraId="40FD53D8" w14:textId="66DEF821" w:rsidR="0072728F" w:rsidRDefault="0072728F" w:rsidP="0072728F">
      <w:pPr>
        <w:pStyle w:val="ListParagraph"/>
        <w:numPr>
          <w:ilvl w:val="0"/>
          <w:numId w:val="3"/>
        </w:numPr>
        <w:spacing w:after="0"/>
      </w:pPr>
      <w:r>
        <w:t>Per Table 2.1 (Allowed Uses), s</w:t>
      </w:r>
      <w:r w:rsidR="004C5867">
        <w:t>easonal</w:t>
      </w:r>
      <w:r>
        <w:t xml:space="preserve"> dwellings are permitted in the Shoreland zoning district.</w:t>
      </w:r>
    </w:p>
    <w:p w14:paraId="51866C92" w14:textId="77777777" w:rsidR="0072728F" w:rsidRDefault="0072728F" w:rsidP="0072728F">
      <w:pPr>
        <w:pStyle w:val="ListParagraph"/>
        <w:numPr>
          <w:ilvl w:val="0"/>
          <w:numId w:val="3"/>
        </w:numPr>
        <w:spacing w:after="0"/>
      </w:pPr>
      <w:r>
        <w:t>Per Section 305 (Setback Waivers), structures in the Shoreland zoning district are eligible for setback waivers.</w:t>
      </w:r>
    </w:p>
    <w:p w14:paraId="2CFFF47B" w14:textId="77777777" w:rsidR="0072728F" w:rsidRDefault="0072728F" w:rsidP="0072728F">
      <w:pPr>
        <w:pStyle w:val="ListParagraph"/>
        <w:numPr>
          <w:ilvl w:val="0"/>
          <w:numId w:val="3"/>
        </w:numPr>
        <w:spacing w:after="0"/>
      </w:pPr>
      <w:r>
        <w:t>Per Section 305.D. (Review Standards):</w:t>
      </w:r>
    </w:p>
    <w:p w14:paraId="7252EB8C" w14:textId="78EF45B2" w:rsidR="0072728F" w:rsidRDefault="00626AF9" w:rsidP="0072728F">
      <w:pPr>
        <w:pStyle w:val="ListParagraph"/>
        <w:numPr>
          <w:ilvl w:val="3"/>
          <w:numId w:val="3"/>
        </w:numPr>
        <w:spacing w:after="0"/>
        <w:rPr>
          <w:bCs/>
        </w:rPr>
      </w:pPr>
      <w:r>
        <w:rPr>
          <w:bCs/>
        </w:rPr>
        <w:t>(Leas</w:t>
      </w:r>
      <w:r w:rsidR="0036200F">
        <w:rPr>
          <w:bCs/>
        </w:rPr>
        <w:t>t</w:t>
      </w:r>
      <w:r>
        <w:rPr>
          <w:bCs/>
        </w:rPr>
        <w:t xml:space="preserve"> Deviation</w:t>
      </w:r>
      <w:r w:rsidR="00211C08">
        <w:rPr>
          <w:bCs/>
        </w:rPr>
        <w:t xml:space="preserve">) </w:t>
      </w:r>
      <w:r w:rsidR="0072728F">
        <w:rPr>
          <w:bCs/>
        </w:rPr>
        <w:t>The Applicant proposes to replace a</w:t>
      </w:r>
      <w:r w:rsidR="001E3940">
        <w:rPr>
          <w:bCs/>
        </w:rPr>
        <w:t>n unsafe</w:t>
      </w:r>
      <w:r w:rsidR="0072728F">
        <w:rPr>
          <w:bCs/>
        </w:rPr>
        <w:t xml:space="preserve"> </w:t>
      </w:r>
      <w:r w:rsidR="004C2C2B">
        <w:rPr>
          <w:bCs/>
        </w:rPr>
        <w:t xml:space="preserve">seasonal </w:t>
      </w:r>
      <w:r w:rsidR="007F509A">
        <w:rPr>
          <w:bCs/>
        </w:rPr>
        <w:t xml:space="preserve">lakefront </w:t>
      </w:r>
      <w:r w:rsidR="004C2C2B">
        <w:rPr>
          <w:bCs/>
        </w:rPr>
        <w:t>cottage</w:t>
      </w:r>
      <w:r w:rsidR="001E3940">
        <w:rPr>
          <w:bCs/>
        </w:rPr>
        <w:t xml:space="preserve"> that sits on an eroding ba</w:t>
      </w:r>
      <w:r w:rsidR="007F509A">
        <w:rPr>
          <w:bCs/>
        </w:rPr>
        <w:t xml:space="preserve">nk </w:t>
      </w:r>
      <w:r w:rsidR="0040385B">
        <w:rPr>
          <w:bCs/>
        </w:rPr>
        <w:t xml:space="preserve">to a location </w:t>
      </w:r>
      <w:r w:rsidR="00380155">
        <w:rPr>
          <w:bCs/>
        </w:rPr>
        <w:t xml:space="preserve">further </w:t>
      </w:r>
      <w:r w:rsidR="00C76AE1">
        <w:rPr>
          <w:bCs/>
        </w:rPr>
        <w:t>back</w:t>
      </w:r>
      <w:r w:rsidR="00B164A8">
        <w:rPr>
          <w:bCs/>
        </w:rPr>
        <w:t xml:space="preserve"> </w:t>
      </w:r>
      <w:r w:rsidR="00380155">
        <w:rPr>
          <w:bCs/>
        </w:rPr>
        <w:t xml:space="preserve">from the water but still within the lake setback. The </w:t>
      </w:r>
      <w:r w:rsidR="00B55E38">
        <w:rPr>
          <w:bCs/>
        </w:rPr>
        <w:t>11’x</w:t>
      </w:r>
      <w:r w:rsidR="00B164A8">
        <w:rPr>
          <w:bCs/>
        </w:rPr>
        <w:t>1</w:t>
      </w:r>
      <w:r w:rsidR="00B55E38">
        <w:rPr>
          <w:bCs/>
        </w:rPr>
        <w:t xml:space="preserve">4’ </w:t>
      </w:r>
      <w:r w:rsidR="00380155">
        <w:rPr>
          <w:bCs/>
        </w:rPr>
        <w:t>replacement cottage</w:t>
      </w:r>
      <w:r w:rsidR="0072728F">
        <w:rPr>
          <w:bCs/>
        </w:rPr>
        <w:t xml:space="preserve"> </w:t>
      </w:r>
      <w:r w:rsidR="00B55E38">
        <w:rPr>
          <w:bCs/>
        </w:rPr>
        <w:t xml:space="preserve">will </w:t>
      </w:r>
      <w:r w:rsidR="003C58FC">
        <w:rPr>
          <w:bCs/>
        </w:rPr>
        <w:t xml:space="preserve">not include the </w:t>
      </w:r>
      <w:r w:rsidR="00B164A8">
        <w:rPr>
          <w:bCs/>
        </w:rPr>
        <w:t>added</w:t>
      </w:r>
      <w:r w:rsidR="003C58FC">
        <w:rPr>
          <w:bCs/>
        </w:rPr>
        <w:t xml:space="preserve"> deck</w:t>
      </w:r>
      <w:r w:rsidR="00B164A8">
        <w:rPr>
          <w:bCs/>
        </w:rPr>
        <w:t xml:space="preserve"> on the current structure</w:t>
      </w:r>
      <w:r w:rsidR="003C58FC">
        <w:rPr>
          <w:bCs/>
        </w:rPr>
        <w:t xml:space="preserve">, </w:t>
      </w:r>
      <w:r w:rsidR="00B55E38">
        <w:rPr>
          <w:bCs/>
        </w:rPr>
        <w:t>reduc</w:t>
      </w:r>
      <w:r w:rsidR="003C58FC">
        <w:rPr>
          <w:bCs/>
        </w:rPr>
        <w:t>ing</w:t>
      </w:r>
      <w:r w:rsidR="00B55E38">
        <w:rPr>
          <w:bCs/>
        </w:rPr>
        <w:t xml:space="preserve"> the</w:t>
      </w:r>
      <w:r w:rsidR="00B25C63">
        <w:rPr>
          <w:bCs/>
        </w:rPr>
        <w:t xml:space="preserve"> footprint and </w:t>
      </w:r>
      <w:r w:rsidR="00B55E38">
        <w:rPr>
          <w:bCs/>
        </w:rPr>
        <w:t>degree of non-conformity</w:t>
      </w:r>
      <w:r w:rsidR="00C76AE1">
        <w:rPr>
          <w:bCs/>
        </w:rPr>
        <w:t xml:space="preserve"> of the original cottage.  </w:t>
      </w:r>
    </w:p>
    <w:p w14:paraId="72234408" w14:textId="5006E6DE" w:rsidR="0072728F" w:rsidRDefault="00211C08" w:rsidP="0072728F">
      <w:pPr>
        <w:pStyle w:val="ListParagraph"/>
        <w:numPr>
          <w:ilvl w:val="3"/>
          <w:numId w:val="3"/>
        </w:numPr>
        <w:spacing w:after="0"/>
        <w:rPr>
          <w:bCs/>
        </w:rPr>
      </w:pPr>
      <w:r>
        <w:rPr>
          <w:bCs/>
        </w:rPr>
        <w:t xml:space="preserve">(Undue Adverse Effect) </w:t>
      </w:r>
      <w:r w:rsidR="0072728F">
        <w:rPr>
          <w:bCs/>
        </w:rPr>
        <w:t xml:space="preserve">The proposed replacement </w:t>
      </w:r>
      <w:r>
        <w:rPr>
          <w:bCs/>
        </w:rPr>
        <w:t xml:space="preserve">cottage </w:t>
      </w:r>
      <w:r w:rsidR="0072728F">
        <w:rPr>
          <w:bCs/>
        </w:rPr>
        <w:t xml:space="preserve">will not represent an undue adverse effect on the character of </w:t>
      </w:r>
      <w:r w:rsidR="00FA5690">
        <w:rPr>
          <w:bCs/>
        </w:rPr>
        <w:t>an</w:t>
      </w:r>
      <w:r w:rsidR="0072728F">
        <w:rPr>
          <w:bCs/>
        </w:rPr>
        <w:t xml:space="preserve"> area</w:t>
      </w:r>
      <w:r w:rsidR="00FA5690">
        <w:rPr>
          <w:bCs/>
        </w:rPr>
        <w:t xml:space="preserve"> that already includes numerous seasonal cottages and homes.</w:t>
      </w:r>
      <w:r w:rsidR="0072728F">
        <w:rPr>
          <w:bCs/>
        </w:rPr>
        <w:t xml:space="preserve">  The </w:t>
      </w:r>
      <w:r w:rsidR="0072728F">
        <w:rPr>
          <w:bCs/>
        </w:rPr>
        <w:lastRenderedPageBreak/>
        <w:t>Board received no written or verbal concerns or complaints about the proposal.</w:t>
      </w:r>
    </w:p>
    <w:p w14:paraId="6A295786" w14:textId="70681D0C" w:rsidR="0072728F" w:rsidRPr="00360D10" w:rsidRDefault="008E4346" w:rsidP="0054655B">
      <w:pPr>
        <w:pStyle w:val="ListParagraph"/>
        <w:numPr>
          <w:ilvl w:val="3"/>
          <w:numId w:val="3"/>
        </w:numPr>
        <w:spacing w:after="0"/>
        <w:rPr>
          <w:b/>
        </w:rPr>
      </w:pPr>
      <w:r w:rsidRPr="00360D10">
        <w:rPr>
          <w:bCs/>
        </w:rPr>
        <w:t xml:space="preserve">(Screening) </w:t>
      </w:r>
      <w:r w:rsidR="00442B26" w:rsidRPr="00360D10">
        <w:rPr>
          <w:bCs/>
        </w:rPr>
        <w:t>T</w:t>
      </w:r>
      <w:r w:rsidR="009B48E3">
        <w:rPr>
          <w:bCs/>
        </w:rPr>
        <w:t>rees along the</w:t>
      </w:r>
      <w:r w:rsidR="00E92C29">
        <w:rPr>
          <w:bCs/>
        </w:rPr>
        <w:t xml:space="preserve"> </w:t>
      </w:r>
      <w:r w:rsidR="00E75B3E" w:rsidRPr="00360D10">
        <w:rPr>
          <w:bCs/>
        </w:rPr>
        <w:t xml:space="preserve">waterfront </w:t>
      </w:r>
      <w:r w:rsidR="00E92C29">
        <w:rPr>
          <w:bCs/>
        </w:rPr>
        <w:t xml:space="preserve">and throughout the lot </w:t>
      </w:r>
      <w:r w:rsidR="002832B9" w:rsidRPr="00360D10">
        <w:rPr>
          <w:bCs/>
        </w:rPr>
        <w:t>create</w:t>
      </w:r>
      <w:r w:rsidR="00442B26" w:rsidRPr="00360D10">
        <w:rPr>
          <w:bCs/>
        </w:rPr>
        <w:t xml:space="preserve"> natural screening</w:t>
      </w:r>
      <w:r w:rsidR="00E75B3E" w:rsidRPr="00360D10">
        <w:rPr>
          <w:bCs/>
        </w:rPr>
        <w:t xml:space="preserve"> from abutting properties.  </w:t>
      </w:r>
      <w:r w:rsidR="00101536">
        <w:rPr>
          <w:bCs/>
        </w:rPr>
        <w:t>No additional screening is necessary.</w:t>
      </w:r>
    </w:p>
    <w:p w14:paraId="4F0FAC0F" w14:textId="77777777" w:rsidR="0072728F" w:rsidRDefault="0072728F" w:rsidP="0072728F">
      <w:pPr>
        <w:spacing w:after="0"/>
        <w:rPr>
          <w:b/>
        </w:rPr>
      </w:pPr>
    </w:p>
    <w:p w14:paraId="2748A95F" w14:textId="77777777" w:rsidR="0072728F" w:rsidRDefault="0072728F" w:rsidP="0072728F">
      <w:pPr>
        <w:spacing w:after="0"/>
        <w:rPr>
          <w:b/>
        </w:rPr>
      </w:pPr>
    </w:p>
    <w:p w14:paraId="299666E6" w14:textId="6E67DF21" w:rsidR="0072728F" w:rsidRDefault="0072728F" w:rsidP="0072728F">
      <w:pPr>
        <w:spacing w:after="0"/>
      </w:pPr>
      <w:r>
        <w:rPr>
          <w:b/>
        </w:rPr>
        <w:t xml:space="preserve">On </w:t>
      </w:r>
      <w:r w:rsidR="00360D10">
        <w:rPr>
          <w:b/>
        </w:rPr>
        <w:t>April 24</w:t>
      </w:r>
      <w:r>
        <w:rPr>
          <w:b/>
        </w:rPr>
        <w:t xml:space="preserve">, 2024, </w:t>
      </w:r>
      <w:r w:rsidR="00360D10">
        <w:rPr>
          <w:b/>
        </w:rPr>
        <w:t>_______________</w:t>
      </w:r>
      <w:r>
        <w:rPr>
          <w:b/>
        </w:rPr>
        <w:t xml:space="preserve"> moved to approve the application, with the findings of fact listed and with the following Conditions: </w:t>
      </w:r>
      <w:r w:rsidR="00360D10">
        <w:rPr>
          <w:b/>
        </w:rPr>
        <w:t>_______________</w:t>
      </w:r>
      <w:r>
        <w:rPr>
          <w:b/>
        </w:rPr>
        <w:t xml:space="preserve"> second. </w:t>
      </w:r>
      <w:r>
        <w:t xml:space="preserve"> </w:t>
      </w:r>
      <w:r>
        <w:rPr>
          <w:b/>
        </w:rPr>
        <w:t>Whereas Final Approval was granted to the application with Conditions,</w:t>
      </w:r>
      <w:r>
        <w:t xml:space="preserve"> with the following people voting in the affirmative: T. Maxham; L. Kilcoyne; M. Welch; G. Hunt; </w:t>
      </w:r>
      <w:r w:rsidR="003F139D">
        <w:t>N. Hayward</w:t>
      </w:r>
      <w:r w:rsidR="00D42D17">
        <w:t xml:space="preserve">, T. Mullen; Ellie Reid; </w:t>
      </w:r>
      <w:r>
        <w:t>and J. Brightwell.</w:t>
      </w:r>
    </w:p>
    <w:p w14:paraId="09F640AD" w14:textId="77777777" w:rsidR="0072728F" w:rsidRDefault="0072728F" w:rsidP="0072728F">
      <w:pPr>
        <w:spacing w:after="0"/>
      </w:pPr>
    </w:p>
    <w:p w14:paraId="471BEC63" w14:textId="77777777" w:rsidR="0072728F" w:rsidRDefault="0072728F" w:rsidP="0072728F">
      <w:pPr>
        <w:spacing w:after="0"/>
      </w:pPr>
    </w:p>
    <w:p w14:paraId="15486D01" w14:textId="77777777" w:rsidR="0072728F" w:rsidRDefault="0072728F" w:rsidP="0072728F">
      <w:pPr>
        <w:spacing w:after="0"/>
      </w:pPr>
      <w:r>
        <w:rPr>
          <w:b/>
        </w:rPr>
        <w:t>Conditions:</w:t>
      </w:r>
      <w:r>
        <w:t xml:space="preserve">    </w:t>
      </w:r>
    </w:p>
    <w:p w14:paraId="168A8D71" w14:textId="77777777" w:rsidR="0072728F" w:rsidRDefault="0072728F" w:rsidP="0072728F">
      <w:pPr>
        <w:pStyle w:val="ListParagraph"/>
        <w:numPr>
          <w:ilvl w:val="0"/>
          <w:numId w:val="4"/>
        </w:numPr>
        <w:spacing w:after="0"/>
      </w:pPr>
      <w:r>
        <w:t>Applicants shall comply with all evidence as presented at the hearing or as amended by this decision.</w:t>
      </w:r>
    </w:p>
    <w:p w14:paraId="5C60E5DD" w14:textId="77777777" w:rsidR="0072728F" w:rsidRDefault="0072728F" w:rsidP="0072728F">
      <w:pPr>
        <w:pStyle w:val="ListParagraph"/>
        <w:numPr>
          <w:ilvl w:val="0"/>
          <w:numId w:val="4"/>
        </w:numPr>
        <w:spacing w:after="0"/>
      </w:pPr>
      <w:r>
        <w:t>During construction, Applicant shall comply with the standards of Sec. 606.A.2 (Stormwater Management and Erosion Control) of the South Hero Development Regulations.</w:t>
      </w:r>
    </w:p>
    <w:p w14:paraId="0C5F49DF" w14:textId="77777777" w:rsidR="0072728F" w:rsidRDefault="0072728F" w:rsidP="0072728F">
      <w:pPr>
        <w:pStyle w:val="ListParagraph"/>
        <w:numPr>
          <w:ilvl w:val="0"/>
          <w:numId w:val="4"/>
        </w:numPr>
        <w:spacing w:after="0"/>
        <w:rPr>
          <w:color w:val="FF0000"/>
        </w:rPr>
      </w:pPr>
      <w:r>
        <w:t>It will be the Applicants’ responsibility to obtain all required State permits and submit copies to the Zoning Administrator.</w:t>
      </w:r>
    </w:p>
    <w:p w14:paraId="3EA1A9C8" w14:textId="77777777" w:rsidR="0072728F" w:rsidRDefault="0072728F" w:rsidP="0072728F">
      <w:pPr>
        <w:pStyle w:val="ListParagraph"/>
        <w:numPr>
          <w:ilvl w:val="0"/>
          <w:numId w:val="4"/>
        </w:numPr>
        <w:spacing w:after="0"/>
      </w:pPr>
      <w: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5AFB3938" w14:textId="77777777" w:rsidR="0072728F" w:rsidRDefault="0072728F" w:rsidP="0072728F">
      <w:pPr>
        <w:spacing w:after="0"/>
      </w:pPr>
    </w:p>
    <w:p w14:paraId="72CEF1D5" w14:textId="77777777" w:rsidR="0072728F" w:rsidRDefault="0072728F" w:rsidP="0072728F">
      <w:pPr>
        <w:spacing w:after="0"/>
        <w:rPr>
          <w:b/>
        </w:rPr>
      </w:pPr>
      <w:r>
        <w:t xml:space="preserve"> </w:t>
      </w:r>
      <w:r>
        <w:rPr>
          <w:b/>
        </w:rPr>
        <w:t xml:space="preserve"> </w:t>
      </w:r>
    </w:p>
    <w:p w14:paraId="08206614" w14:textId="7E2A250C" w:rsidR="0072728F" w:rsidRDefault="0072728F" w:rsidP="0072728F">
      <w:pPr>
        <w:spacing w:after="0"/>
        <w:rPr>
          <w:b/>
        </w:rPr>
      </w:pPr>
      <w:r>
        <w:rPr>
          <w:b/>
        </w:rPr>
        <w:t xml:space="preserve">  Dated: </w:t>
      </w:r>
      <w:r w:rsidR="00A70521">
        <w:rPr>
          <w:b/>
        </w:rPr>
        <w:t>April 24</w:t>
      </w:r>
      <w:r>
        <w:rPr>
          <w:b/>
        </w:rPr>
        <w:t>, 2024</w:t>
      </w:r>
    </w:p>
    <w:p w14:paraId="5DF8BDBE" w14:textId="77777777" w:rsidR="0072728F" w:rsidRDefault="0072728F" w:rsidP="0072728F">
      <w:pPr>
        <w:spacing w:after="0"/>
        <w:rPr>
          <w:b/>
        </w:rPr>
      </w:pPr>
    </w:p>
    <w:p w14:paraId="2A940FDF" w14:textId="77777777" w:rsidR="0072728F" w:rsidRDefault="0072728F" w:rsidP="0072728F">
      <w:pPr>
        <w:spacing w:after="0"/>
        <w:rPr>
          <w:b/>
        </w:rPr>
      </w:pPr>
      <w:r>
        <w:rPr>
          <w:b/>
        </w:rPr>
        <w:t xml:space="preserve">           _________________________________________</w:t>
      </w:r>
    </w:p>
    <w:p w14:paraId="0D319C6E" w14:textId="31DC3EC3" w:rsidR="0072728F" w:rsidRDefault="0072728F" w:rsidP="0072728F">
      <w:pPr>
        <w:spacing w:after="0"/>
        <w:rPr>
          <w:b/>
          <w:sz w:val="20"/>
          <w:szCs w:val="20"/>
        </w:rPr>
      </w:pPr>
      <w:r>
        <w:rPr>
          <w:b/>
          <w:sz w:val="18"/>
          <w:szCs w:val="18"/>
        </w:rPr>
        <w:tab/>
      </w:r>
      <w:r>
        <w:rPr>
          <w:b/>
          <w:sz w:val="20"/>
          <w:szCs w:val="20"/>
        </w:rPr>
        <w:t>For the Development Review Board</w:t>
      </w:r>
    </w:p>
    <w:p w14:paraId="434AE733" w14:textId="77777777" w:rsidR="0072728F" w:rsidRDefault="0072728F" w:rsidP="0072728F">
      <w:pPr>
        <w:spacing w:after="0"/>
        <w:rPr>
          <w:b/>
          <w:sz w:val="18"/>
          <w:szCs w:val="18"/>
        </w:rPr>
      </w:pPr>
    </w:p>
    <w:p w14:paraId="2B94750F" w14:textId="77777777" w:rsidR="0072728F" w:rsidRDefault="0072728F" w:rsidP="0072728F">
      <w:pPr>
        <w:spacing w:after="0"/>
        <w:rPr>
          <w:sz w:val="20"/>
          <w:szCs w:val="20"/>
        </w:rPr>
      </w:pPr>
    </w:p>
    <w:p w14:paraId="795B78A4" w14:textId="77777777" w:rsidR="0072728F" w:rsidRDefault="0072728F" w:rsidP="0072728F">
      <w:pPr>
        <w:pStyle w:val="Heading2"/>
        <w:spacing w:after="0"/>
        <w:rPr>
          <w:i/>
          <w:iCs/>
          <w:sz w:val="22"/>
          <w:szCs w:val="22"/>
        </w:rPr>
      </w:pPr>
      <w:r>
        <w:rPr>
          <w:i/>
          <w:iCs/>
          <w:sz w:val="22"/>
          <w:szCs w:val="22"/>
        </w:rPr>
        <w:t>APPEAL RIGHTS</w:t>
      </w:r>
    </w:p>
    <w:p w14:paraId="4530349F" w14:textId="77777777" w:rsidR="0072728F" w:rsidRDefault="0072728F" w:rsidP="0072728F">
      <w:pPr>
        <w:spacing w:after="0"/>
        <w:rPr>
          <w:b/>
          <w:i/>
          <w:iCs/>
          <w:sz w:val="20"/>
          <w:szCs w:val="20"/>
        </w:rPr>
      </w:pPr>
      <w:r>
        <w:rPr>
          <w:i/>
          <w:iCs/>
          <w:sz w:val="20"/>
          <w:szCs w:val="20"/>
        </w:rPr>
        <w:tab/>
        <w:t xml:space="preserve">Any appeal of this decision must be filed with the Superior Court, Environmental Division)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A copy of this appeal must be filed with the Zoning Administrator or the Town Clerk within thirty (30) days from the date of issuance. </w:t>
      </w:r>
    </w:p>
    <w:p w14:paraId="655F9A24" w14:textId="77777777" w:rsidR="0072728F" w:rsidRDefault="0072728F" w:rsidP="0072728F"/>
    <w:p w14:paraId="0F30A088" w14:textId="77777777" w:rsidR="0062618C" w:rsidRDefault="0062618C"/>
    <w:sectPr w:rsidR="006261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82844" w14:textId="77777777" w:rsidR="00B149C6" w:rsidRDefault="00B149C6" w:rsidP="0068537B">
      <w:pPr>
        <w:spacing w:after="0" w:line="240" w:lineRule="auto"/>
      </w:pPr>
      <w:r>
        <w:separator/>
      </w:r>
    </w:p>
  </w:endnote>
  <w:endnote w:type="continuationSeparator" w:id="0">
    <w:p w14:paraId="1916D27B" w14:textId="77777777" w:rsidR="00B149C6" w:rsidRDefault="00B149C6" w:rsidP="0068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794A2" w14:textId="77777777" w:rsidR="0068537B" w:rsidRDefault="0068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221319"/>
      <w:docPartObj>
        <w:docPartGallery w:val="Page Numbers (Bottom of Page)"/>
        <w:docPartUnique/>
      </w:docPartObj>
    </w:sdtPr>
    <w:sdtContent>
      <w:sdt>
        <w:sdtPr>
          <w:id w:val="-1769616900"/>
          <w:docPartObj>
            <w:docPartGallery w:val="Page Numbers (Top of Page)"/>
            <w:docPartUnique/>
          </w:docPartObj>
        </w:sdtPr>
        <w:sdtContent>
          <w:p w14:paraId="2A566364" w14:textId="48005B13" w:rsidR="0068537B" w:rsidRDefault="006853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3E671D" w14:textId="77777777" w:rsidR="0068537B" w:rsidRDefault="00685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40526" w14:textId="77777777" w:rsidR="0068537B" w:rsidRDefault="0068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1EDDC" w14:textId="77777777" w:rsidR="00B149C6" w:rsidRDefault="00B149C6" w:rsidP="0068537B">
      <w:pPr>
        <w:spacing w:after="0" w:line="240" w:lineRule="auto"/>
      </w:pPr>
      <w:r>
        <w:separator/>
      </w:r>
    </w:p>
  </w:footnote>
  <w:footnote w:type="continuationSeparator" w:id="0">
    <w:p w14:paraId="3861DE29" w14:textId="77777777" w:rsidR="00B149C6" w:rsidRDefault="00B149C6" w:rsidP="0068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21C57" w14:textId="77777777" w:rsidR="0068537B" w:rsidRDefault="0068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08489" w14:textId="5119EE17" w:rsidR="0068537B" w:rsidRDefault="0068537B">
    <w:pPr>
      <w:spacing w:line="264" w:lineRule="auto"/>
    </w:pPr>
    <w:r>
      <w:rPr>
        <w:noProof/>
        <w:color w:val="000000"/>
      </w:rPr>
      <mc:AlternateContent>
        <mc:Choice Requires="wps">
          <w:drawing>
            <wp:anchor distT="0" distB="0" distL="114300" distR="114300" simplePos="0" relativeHeight="251657216" behindDoc="0" locked="0" layoutInCell="1" allowOverlap="1" wp14:anchorId="4A3954EF" wp14:editId="147C3483">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F62D5A"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37373 [1614]" strokeweight="1.25pt">
              <w10:wrap anchorx="page" anchory="page"/>
            </v:rect>
          </w:pict>
        </mc:Fallback>
      </mc:AlternateContent>
    </w:r>
    <w:sdt>
      <w:sdtPr>
        <w:rPr>
          <w:color w:val="156082" w:themeColor="accent1"/>
          <w:sz w:val="20"/>
          <w:szCs w:val="20"/>
        </w:rPr>
        <w:alias w:val="Title"/>
        <w:id w:val="15524250"/>
        <w:placeholder>
          <w:docPart w:val="3B839D33F7364E8A8F6625723C6E6C91"/>
        </w:placeholder>
        <w:dataBinding w:prefixMappings="xmlns:ns0='http://schemas.openxmlformats.org/package/2006/metadata/core-properties' xmlns:ns1='http://purl.org/dc/elements/1.1/'" w:xpath="/ns0:coreProperties[1]/ns1:title[1]" w:storeItemID="{6C3C8BC8-F283-45AE-878A-BAB7291924A1}"/>
        <w:text/>
      </w:sdtPr>
      <w:sdtContent>
        <w:proofErr w:type="spellStart"/>
        <w:r>
          <w:rPr>
            <w:color w:val="156082" w:themeColor="accent1"/>
            <w:sz w:val="20"/>
            <w:szCs w:val="20"/>
          </w:rPr>
          <w:t>Seganku</w:t>
        </w:r>
        <w:proofErr w:type="spellEnd"/>
        <w:r w:rsidR="00A931B9">
          <w:rPr>
            <w:color w:val="156082" w:themeColor="accent1"/>
            <w:sz w:val="20"/>
            <w:szCs w:val="20"/>
          </w:rPr>
          <w:t xml:space="preserve"> waiver (24-57-KF049</w:t>
        </w:r>
      </w:sdtContent>
    </w:sdt>
  </w:p>
  <w:p w14:paraId="1F84A5EA" w14:textId="77777777" w:rsidR="0068537B" w:rsidRDefault="00685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544D8" w14:textId="77777777" w:rsidR="0068537B" w:rsidRDefault="0068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F14B0"/>
    <w:multiLevelType w:val="hybridMultilevel"/>
    <w:tmpl w:val="2334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6B5F16"/>
    <w:multiLevelType w:val="hybridMultilevel"/>
    <w:tmpl w:val="7AF6A50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857EA3"/>
    <w:multiLevelType w:val="hybridMultilevel"/>
    <w:tmpl w:val="29809544"/>
    <w:lvl w:ilvl="0" w:tplc="C756A140">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9066E7"/>
    <w:multiLevelType w:val="hybridMultilevel"/>
    <w:tmpl w:val="A79475AA"/>
    <w:lvl w:ilvl="0" w:tplc="5CBE497C">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90215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32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250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4142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974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8F"/>
    <w:rsid w:val="0000635E"/>
    <w:rsid w:val="00050BC2"/>
    <w:rsid w:val="000934DE"/>
    <w:rsid w:val="00093A7F"/>
    <w:rsid w:val="000965CD"/>
    <w:rsid w:val="000B292C"/>
    <w:rsid w:val="00101536"/>
    <w:rsid w:val="001456DB"/>
    <w:rsid w:val="001E3940"/>
    <w:rsid w:val="00211C08"/>
    <w:rsid w:val="002204E3"/>
    <w:rsid w:val="0022131D"/>
    <w:rsid w:val="002832B9"/>
    <w:rsid w:val="00285B2A"/>
    <w:rsid w:val="00287076"/>
    <w:rsid w:val="00292BCF"/>
    <w:rsid w:val="00297904"/>
    <w:rsid w:val="002E3C56"/>
    <w:rsid w:val="00360D10"/>
    <w:rsid w:val="0036200F"/>
    <w:rsid w:val="003743F6"/>
    <w:rsid w:val="00380155"/>
    <w:rsid w:val="0039788A"/>
    <w:rsid w:val="003C58FC"/>
    <w:rsid w:val="003F139D"/>
    <w:rsid w:val="0040385B"/>
    <w:rsid w:val="00442B26"/>
    <w:rsid w:val="004C2C2B"/>
    <w:rsid w:val="004C2F93"/>
    <w:rsid w:val="004C5867"/>
    <w:rsid w:val="005105F9"/>
    <w:rsid w:val="005C2532"/>
    <w:rsid w:val="0062618C"/>
    <w:rsid w:val="00626AF9"/>
    <w:rsid w:val="0066395B"/>
    <w:rsid w:val="0068537B"/>
    <w:rsid w:val="006C1D95"/>
    <w:rsid w:val="006E6051"/>
    <w:rsid w:val="00701F7A"/>
    <w:rsid w:val="0072728F"/>
    <w:rsid w:val="0074187D"/>
    <w:rsid w:val="007D1529"/>
    <w:rsid w:val="007D58B8"/>
    <w:rsid w:val="007E58CA"/>
    <w:rsid w:val="007E6FC8"/>
    <w:rsid w:val="007F509A"/>
    <w:rsid w:val="00803520"/>
    <w:rsid w:val="008056F9"/>
    <w:rsid w:val="008B5E10"/>
    <w:rsid w:val="008E4346"/>
    <w:rsid w:val="00903E5C"/>
    <w:rsid w:val="00911C3F"/>
    <w:rsid w:val="009A6244"/>
    <w:rsid w:val="009B48E3"/>
    <w:rsid w:val="00A70521"/>
    <w:rsid w:val="00A931B9"/>
    <w:rsid w:val="00AB0EAA"/>
    <w:rsid w:val="00B0502E"/>
    <w:rsid w:val="00B149C6"/>
    <w:rsid w:val="00B164A8"/>
    <w:rsid w:val="00B25C63"/>
    <w:rsid w:val="00B55E38"/>
    <w:rsid w:val="00B563AE"/>
    <w:rsid w:val="00BA5C16"/>
    <w:rsid w:val="00BA69E0"/>
    <w:rsid w:val="00BC133B"/>
    <w:rsid w:val="00C063E9"/>
    <w:rsid w:val="00C14A6C"/>
    <w:rsid w:val="00C76AE1"/>
    <w:rsid w:val="00D179DF"/>
    <w:rsid w:val="00D300DA"/>
    <w:rsid w:val="00D42D17"/>
    <w:rsid w:val="00D6184E"/>
    <w:rsid w:val="00DB1385"/>
    <w:rsid w:val="00DC709D"/>
    <w:rsid w:val="00E3575D"/>
    <w:rsid w:val="00E40B34"/>
    <w:rsid w:val="00E75B3E"/>
    <w:rsid w:val="00E92C29"/>
    <w:rsid w:val="00FA5690"/>
    <w:rsid w:val="00FD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31058"/>
  <w15:chartTrackingRefBased/>
  <w15:docId w15:val="{8C2CC99D-2F80-4FAC-B496-7DA2A551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8F"/>
    <w:pPr>
      <w:spacing w:line="252" w:lineRule="auto"/>
    </w:pPr>
    <w:rPr>
      <w:kern w:val="0"/>
      <w14:ligatures w14:val="none"/>
    </w:rPr>
  </w:style>
  <w:style w:type="paragraph" w:styleId="Heading1">
    <w:name w:val="heading 1"/>
    <w:basedOn w:val="Normal"/>
    <w:next w:val="Normal"/>
    <w:link w:val="Heading1Char"/>
    <w:uiPriority w:val="9"/>
    <w:qFormat/>
    <w:rsid w:val="007272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7272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72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72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72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72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72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72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72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7272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72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72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72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72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72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72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728F"/>
    <w:rPr>
      <w:rFonts w:eastAsiaTheme="majorEastAsia" w:cstheme="majorBidi"/>
      <w:color w:val="272727" w:themeColor="text1" w:themeTint="D8"/>
    </w:rPr>
  </w:style>
  <w:style w:type="paragraph" w:styleId="Title">
    <w:name w:val="Title"/>
    <w:basedOn w:val="Normal"/>
    <w:next w:val="Normal"/>
    <w:link w:val="TitleChar"/>
    <w:uiPriority w:val="10"/>
    <w:qFormat/>
    <w:rsid w:val="007272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2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72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72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728F"/>
    <w:pPr>
      <w:spacing w:before="160"/>
      <w:jc w:val="center"/>
    </w:pPr>
    <w:rPr>
      <w:i/>
      <w:iCs/>
      <w:color w:val="404040" w:themeColor="text1" w:themeTint="BF"/>
    </w:rPr>
  </w:style>
  <w:style w:type="character" w:customStyle="1" w:styleId="QuoteChar">
    <w:name w:val="Quote Char"/>
    <w:basedOn w:val="DefaultParagraphFont"/>
    <w:link w:val="Quote"/>
    <w:uiPriority w:val="29"/>
    <w:rsid w:val="0072728F"/>
    <w:rPr>
      <w:i/>
      <w:iCs/>
      <w:color w:val="404040" w:themeColor="text1" w:themeTint="BF"/>
    </w:rPr>
  </w:style>
  <w:style w:type="paragraph" w:styleId="ListParagraph">
    <w:name w:val="List Paragraph"/>
    <w:basedOn w:val="Normal"/>
    <w:uiPriority w:val="34"/>
    <w:qFormat/>
    <w:rsid w:val="0072728F"/>
    <w:pPr>
      <w:ind w:left="720"/>
      <w:contextualSpacing/>
    </w:pPr>
  </w:style>
  <w:style w:type="character" w:styleId="IntenseEmphasis">
    <w:name w:val="Intense Emphasis"/>
    <w:basedOn w:val="DefaultParagraphFont"/>
    <w:uiPriority w:val="21"/>
    <w:qFormat/>
    <w:rsid w:val="0072728F"/>
    <w:rPr>
      <w:i/>
      <w:iCs/>
      <w:color w:val="0F4761" w:themeColor="accent1" w:themeShade="BF"/>
    </w:rPr>
  </w:style>
  <w:style w:type="paragraph" w:styleId="IntenseQuote">
    <w:name w:val="Intense Quote"/>
    <w:basedOn w:val="Normal"/>
    <w:next w:val="Normal"/>
    <w:link w:val="IntenseQuoteChar"/>
    <w:uiPriority w:val="30"/>
    <w:qFormat/>
    <w:rsid w:val="007272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728F"/>
    <w:rPr>
      <w:i/>
      <w:iCs/>
      <w:color w:val="0F4761" w:themeColor="accent1" w:themeShade="BF"/>
    </w:rPr>
  </w:style>
  <w:style w:type="character" w:styleId="IntenseReference">
    <w:name w:val="Intense Reference"/>
    <w:basedOn w:val="DefaultParagraphFont"/>
    <w:uiPriority w:val="32"/>
    <w:qFormat/>
    <w:rsid w:val="0072728F"/>
    <w:rPr>
      <w:b/>
      <w:bCs/>
      <w:smallCaps/>
      <w:color w:val="0F4761" w:themeColor="accent1" w:themeShade="BF"/>
      <w:spacing w:val="5"/>
    </w:rPr>
  </w:style>
  <w:style w:type="paragraph" w:styleId="Header">
    <w:name w:val="header"/>
    <w:basedOn w:val="Normal"/>
    <w:link w:val="HeaderChar"/>
    <w:uiPriority w:val="99"/>
    <w:unhideWhenUsed/>
    <w:rsid w:val="0068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7B"/>
    <w:rPr>
      <w:kern w:val="0"/>
      <w14:ligatures w14:val="none"/>
    </w:rPr>
  </w:style>
  <w:style w:type="paragraph" w:styleId="Footer">
    <w:name w:val="footer"/>
    <w:basedOn w:val="Normal"/>
    <w:link w:val="FooterChar"/>
    <w:uiPriority w:val="99"/>
    <w:unhideWhenUsed/>
    <w:rsid w:val="0068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7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9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B839D33F7364E8A8F6625723C6E6C91"/>
        <w:category>
          <w:name w:val="General"/>
          <w:gallery w:val="placeholder"/>
        </w:category>
        <w:types>
          <w:type w:val="bbPlcHdr"/>
        </w:types>
        <w:behaviors>
          <w:behavior w:val="content"/>
        </w:behaviors>
        <w:guid w:val="{0AC30AA2-72D9-492B-A376-32C4B85E0B2B}"/>
      </w:docPartPr>
      <w:docPartBody>
        <w:p w:rsidR="00B878D3" w:rsidRDefault="00F00998" w:rsidP="00F00998">
          <w:pPr>
            <w:pStyle w:val="3B839D33F7364E8A8F6625723C6E6C91"/>
          </w:pPr>
          <w:r>
            <w:rPr>
              <w:color w:val="156082"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98"/>
    <w:rsid w:val="00AF49EF"/>
    <w:rsid w:val="00B878D3"/>
    <w:rsid w:val="00CF1483"/>
    <w:rsid w:val="00D24692"/>
    <w:rsid w:val="00F00998"/>
    <w:rsid w:val="00FA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39D33F7364E8A8F6625723C6E6C91">
    <w:name w:val="3B839D33F7364E8A8F6625723C6E6C91"/>
    <w:rsid w:val="00F00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Seganku waiver (24-57-KF049</dc:title>
  <dc:subject/>
  <dc:creator>South Hero Zoning</dc:creator>
  <cp:keywords/>
  <dc:description/>
  <cp:lastModifiedBy>South Hero Zoning</cp:lastModifiedBy>
  <cp:revision>68</cp:revision>
  <dcterms:created xsi:type="dcterms:W3CDTF">2024-04-16T14:50:00Z</dcterms:created>
  <dcterms:modified xsi:type="dcterms:W3CDTF">2024-05-09T15:37:00Z</dcterms:modified>
</cp:coreProperties>
</file>