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2" w:type="dxa"/>
        <w:tblInd w:w="-5" w:type="dxa"/>
        <w:tblLook w:val="04A0" w:firstRow="1" w:lastRow="0" w:firstColumn="1" w:lastColumn="0" w:noHBand="0" w:noVBand="1"/>
      </w:tblPr>
      <w:tblGrid>
        <w:gridCol w:w="669"/>
        <w:gridCol w:w="6839"/>
        <w:gridCol w:w="3424"/>
      </w:tblGrid>
      <w:tr w:rsidR="002E114F" w:rsidRPr="00B767E6" w14:paraId="41A137DE" w14:textId="77777777" w:rsidTr="002E114F">
        <w:trPr>
          <w:trHeight w:val="783"/>
        </w:trPr>
        <w:tc>
          <w:tcPr>
            <w:tcW w:w="669" w:type="dxa"/>
            <w:shd w:val="clear" w:color="auto" w:fill="FFFFFF" w:themeFill="background1"/>
          </w:tcPr>
          <w:p w14:paraId="2BAC0E41" w14:textId="77777777" w:rsidR="002E114F" w:rsidRPr="002E114F" w:rsidRDefault="002E114F" w:rsidP="002E114F">
            <w:pPr>
              <w:pStyle w:val="Default"/>
              <w:spacing w:before="200"/>
              <w:jc w:val="center"/>
              <w:rPr>
                <w:b/>
                <w:bCs/>
              </w:rPr>
            </w:pPr>
          </w:p>
        </w:tc>
        <w:tc>
          <w:tcPr>
            <w:tcW w:w="6839" w:type="dxa"/>
            <w:shd w:val="clear" w:color="auto" w:fill="FFFFFF" w:themeFill="background1"/>
          </w:tcPr>
          <w:p w14:paraId="4DD52E1B" w14:textId="13B541DA" w:rsidR="002E114F" w:rsidRPr="002E114F" w:rsidRDefault="002E114F" w:rsidP="002E114F">
            <w:pPr>
              <w:pStyle w:val="Default"/>
              <w:spacing w:before="200"/>
              <w:jc w:val="center"/>
              <w:rPr>
                <w:b/>
                <w:bCs/>
              </w:rPr>
            </w:pPr>
            <w:r w:rsidRPr="002E114F">
              <w:rPr>
                <w:b/>
                <w:bCs/>
              </w:rPr>
              <w:t>From the Flip Chart</w:t>
            </w:r>
          </w:p>
        </w:tc>
        <w:tc>
          <w:tcPr>
            <w:tcW w:w="3424" w:type="dxa"/>
            <w:shd w:val="clear" w:color="auto" w:fill="FFFFFF" w:themeFill="background1"/>
          </w:tcPr>
          <w:p w14:paraId="06568E64" w14:textId="2FB3A4B5" w:rsidR="002E114F" w:rsidRPr="002E114F" w:rsidRDefault="002E114F" w:rsidP="002E114F">
            <w:pPr>
              <w:pStyle w:val="Default"/>
              <w:spacing w:before="200"/>
              <w:jc w:val="center"/>
              <w:rPr>
                <w:b/>
                <w:bCs/>
              </w:rPr>
            </w:pPr>
            <w:r w:rsidRPr="002E114F">
              <w:rPr>
                <w:b/>
                <w:bCs/>
              </w:rPr>
              <w:t>Village Vision (Zoning Bylaw)</w:t>
            </w:r>
          </w:p>
        </w:tc>
      </w:tr>
      <w:tr w:rsidR="002E114F" w:rsidRPr="00B767E6" w14:paraId="15CB3457" w14:textId="77777777" w:rsidTr="002E114F">
        <w:trPr>
          <w:trHeight w:val="486"/>
        </w:trPr>
        <w:tc>
          <w:tcPr>
            <w:tcW w:w="669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0E35B7CF" w14:textId="531C5A63" w:rsidR="002E114F" w:rsidRPr="002E114F" w:rsidRDefault="002E114F" w:rsidP="002E114F">
            <w:pPr>
              <w:pStyle w:val="ListParagraph"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2E114F">
              <w:rPr>
                <w:b/>
                <w:bCs/>
                <w:sz w:val="28"/>
                <w:szCs w:val="28"/>
              </w:rPr>
              <w:t>South Hero Village Today</w:t>
            </w:r>
          </w:p>
        </w:tc>
        <w:tc>
          <w:tcPr>
            <w:tcW w:w="6839" w:type="dxa"/>
            <w:shd w:val="clear" w:color="auto" w:fill="C5E0B3" w:themeFill="accent6" w:themeFillTint="66"/>
          </w:tcPr>
          <w:p w14:paraId="622A068D" w14:textId="02ABA716" w:rsidR="002E114F" w:rsidRPr="002E114F" w:rsidRDefault="002E114F" w:rsidP="002E114F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>Center of the town</w:t>
            </w:r>
          </w:p>
        </w:tc>
        <w:tc>
          <w:tcPr>
            <w:tcW w:w="3424" w:type="dxa"/>
            <w:shd w:val="clear" w:color="auto" w:fill="C5E0B3" w:themeFill="accent6" w:themeFillTint="66"/>
          </w:tcPr>
          <w:p w14:paraId="014A2DC9" w14:textId="77777777" w:rsidR="002E114F" w:rsidRPr="002E114F" w:rsidRDefault="002E114F" w:rsidP="002E11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114F" w:rsidRPr="00B767E6" w14:paraId="164AFCA2" w14:textId="77777777" w:rsidTr="002E114F">
        <w:trPr>
          <w:trHeight w:val="486"/>
        </w:trPr>
        <w:tc>
          <w:tcPr>
            <w:tcW w:w="669" w:type="dxa"/>
            <w:vMerge/>
            <w:shd w:val="clear" w:color="auto" w:fill="C5E0B3" w:themeFill="accent6" w:themeFillTint="66"/>
          </w:tcPr>
          <w:p w14:paraId="514FB4A2" w14:textId="77777777" w:rsidR="002E114F" w:rsidRDefault="002E114F" w:rsidP="00B767E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39" w:type="dxa"/>
            <w:shd w:val="clear" w:color="auto" w:fill="C5E0B3" w:themeFill="accent6" w:themeFillTint="66"/>
          </w:tcPr>
          <w:p w14:paraId="416EF66B" w14:textId="3DD93840" w:rsidR="002E114F" w:rsidRPr="002E114F" w:rsidRDefault="002E114F" w:rsidP="002E114F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>Location of key municipal services, the Folsom School, seasonal farmer’s market &amp; several churches</w:t>
            </w:r>
          </w:p>
        </w:tc>
        <w:tc>
          <w:tcPr>
            <w:tcW w:w="3424" w:type="dxa"/>
            <w:shd w:val="clear" w:color="auto" w:fill="C5E0B3" w:themeFill="accent6" w:themeFillTint="66"/>
          </w:tcPr>
          <w:p w14:paraId="7689F2A5" w14:textId="77777777" w:rsidR="002E114F" w:rsidRPr="002E114F" w:rsidRDefault="002E114F" w:rsidP="002E114F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Places for the community to gather for social and cultural events. </w:t>
            </w:r>
          </w:p>
          <w:p w14:paraId="58F05072" w14:textId="07136607" w:rsidR="002E114F" w:rsidRPr="002E114F" w:rsidRDefault="002E114F" w:rsidP="002E114F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Government services. </w:t>
            </w:r>
          </w:p>
        </w:tc>
      </w:tr>
      <w:tr w:rsidR="002E114F" w:rsidRPr="00B767E6" w14:paraId="3981A379" w14:textId="77777777" w:rsidTr="002E114F">
        <w:trPr>
          <w:trHeight w:val="486"/>
        </w:trPr>
        <w:tc>
          <w:tcPr>
            <w:tcW w:w="669" w:type="dxa"/>
            <w:vMerge/>
            <w:shd w:val="clear" w:color="auto" w:fill="C5E0B3" w:themeFill="accent6" w:themeFillTint="66"/>
          </w:tcPr>
          <w:p w14:paraId="77017EC7" w14:textId="77777777" w:rsidR="002E114F" w:rsidRDefault="002E114F" w:rsidP="00B767E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39" w:type="dxa"/>
            <w:shd w:val="clear" w:color="auto" w:fill="C5E0B3" w:themeFill="accent6" w:themeFillTint="66"/>
          </w:tcPr>
          <w:p w14:paraId="519FD28B" w14:textId="79D18C54" w:rsidR="002E114F" w:rsidRPr="002E114F" w:rsidRDefault="002E114F" w:rsidP="002E114F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>Commercial development located along Route 2 while outside of Route 2 most development is residential or farmland</w:t>
            </w:r>
          </w:p>
        </w:tc>
        <w:tc>
          <w:tcPr>
            <w:tcW w:w="3424" w:type="dxa"/>
            <w:shd w:val="clear" w:color="auto" w:fill="C5E0B3" w:themeFill="accent6" w:themeFillTint="66"/>
          </w:tcPr>
          <w:p w14:paraId="7B5CFDCD" w14:textId="04E19BA8" w:rsidR="002E114F" w:rsidRPr="002E114F" w:rsidRDefault="002E114F" w:rsidP="002E11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Shops and services intermixed with homes</w:t>
            </w:r>
          </w:p>
        </w:tc>
      </w:tr>
      <w:tr w:rsidR="002E114F" w:rsidRPr="00B767E6" w14:paraId="694BE9CF" w14:textId="77777777" w:rsidTr="002E114F">
        <w:trPr>
          <w:trHeight w:val="486"/>
        </w:trPr>
        <w:tc>
          <w:tcPr>
            <w:tcW w:w="669" w:type="dxa"/>
            <w:vMerge/>
            <w:shd w:val="clear" w:color="auto" w:fill="C5E0B3" w:themeFill="accent6" w:themeFillTint="66"/>
          </w:tcPr>
          <w:p w14:paraId="613A0FD0" w14:textId="77777777" w:rsidR="002E114F" w:rsidRDefault="002E114F" w:rsidP="00B767E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39" w:type="dxa"/>
            <w:shd w:val="clear" w:color="auto" w:fill="C5E0B3" w:themeFill="accent6" w:themeFillTint="66"/>
          </w:tcPr>
          <w:p w14:paraId="757A4093" w14:textId="0F6999B3" w:rsidR="002E114F" w:rsidRPr="002E114F" w:rsidRDefault="002E114F" w:rsidP="002E114F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>A place to access many businesses/services in one location</w:t>
            </w:r>
          </w:p>
        </w:tc>
        <w:tc>
          <w:tcPr>
            <w:tcW w:w="3424" w:type="dxa"/>
            <w:shd w:val="clear" w:color="auto" w:fill="C5E0B3" w:themeFill="accent6" w:themeFillTint="66"/>
          </w:tcPr>
          <w:p w14:paraId="69580D05" w14:textId="77777777" w:rsidR="002E114F" w:rsidRPr="002E114F" w:rsidRDefault="002E114F" w:rsidP="002E11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variety of commercial establishments from retail shops to home businesses, professional offices, and tourist services.</w:t>
            </w:r>
          </w:p>
          <w:p w14:paraId="6E0C4F52" w14:textId="77777777" w:rsidR="002E114F" w:rsidRPr="002E114F" w:rsidRDefault="002E114F" w:rsidP="002E11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114F" w:rsidRPr="00B767E6" w14:paraId="49A5C58C" w14:textId="77777777" w:rsidTr="002E114F">
        <w:trPr>
          <w:trHeight w:val="486"/>
        </w:trPr>
        <w:tc>
          <w:tcPr>
            <w:tcW w:w="669" w:type="dxa"/>
            <w:vMerge/>
            <w:shd w:val="clear" w:color="auto" w:fill="C5E0B3" w:themeFill="accent6" w:themeFillTint="66"/>
          </w:tcPr>
          <w:p w14:paraId="6A18DB37" w14:textId="77777777" w:rsidR="002E114F" w:rsidRDefault="002E114F" w:rsidP="00B767E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39" w:type="dxa"/>
            <w:shd w:val="clear" w:color="auto" w:fill="C5E0B3" w:themeFill="accent6" w:themeFillTint="66"/>
          </w:tcPr>
          <w:p w14:paraId="03C41904" w14:textId="0B7D89B7" w:rsidR="002E114F" w:rsidRPr="002E114F" w:rsidRDefault="002E114F" w:rsidP="002E114F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 xml:space="preserve">Route 2 has a wide shoulder but limited sidewalks/sidewalks in disrepair. There are not enough </w:t>
            </w:r>
            <w:proofErr w:type="gramStart"/>
            <w:r w:rsidRPr="002E114F">
              <w:rPr>
                <w:rFonts w:cstheme="minorHAnsi"/>
              </w:rPr>
              <w:t>crosswalks</w:t>
            </w:r>
            <w:proofErr w:type="gramEnd"/>
            <w:r w:rsidRPr="002E114F">
              <w:rPr>
                <w:rFonts w:cstheme="minorHAnsi"/>
              </w:rPr>
              <w:t xml:space="preserve"> and it can be difficult to cross Route 2.</w:t>
            </w:r>
          </w:p>
        </w:tc>
        <w:tc>
          <w:tcPr>
            <w:tcW w:w="3424" w:type="dxa"/>
            <w:shd w:val="clear" w:color="auto" w:fill="C5E0B3" w:themeFill="accent6" w:themeFillTint="66"/>
          </w:tcPr>
          <w:p w14:paraId="15005ABD" w14:textId="2475B5A4" w:rsidR="002E114F" w:rsidRPr="00672A4B" w:rsidRDefault="00672A4B" w:rsidP="002E11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Walkable, pedestrian friendly streets, </w:t>
            </w:r>
            <w:proofErr w:type="gramStart"/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sidewalks</w:t>
            </w:r>
            <w:proofErr w:type="gramEnd"/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walkways.</w:t>
            </w:r>
          </w:p>
        </w:tc>
      </w:tr>
      <w:tr w:rsidR="002E114F" w:rsidRPr="00B767E6" w14:paraId="38908272" w14:textId="77777777" w:rsidTr="002E114F">
        <w:trPr>
          <w:trHeight w:val="486"/>
        </w:trPr>
        <w:tc>
          <w:tcPr>
            <w:tcW w:w="669" w:type="dxa"/>
            <w:vMerge/>
            <w:shd w:val="clear" w:color="auto" w:fill="C5E0B3" w:themeFill="accent6" w:themeFillTint="66"/>
          </w:tcPr>
          <w:p w14:paraId="20726C74" w14:textId="77777777" w:rsidR="002E114F" w:rsidRDefault="002E114F" w:rsidP="00B767E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39" w:type="dxa"/>
            <w:shd w:val="clear" w:color="auto" w:fill="C5E0B3" w:themeFill="accent6" w:themeFillTint="66"/>
          </w:tcPr>
          <w:p w14:paraId="7AF2C896" w14:textId="569EAD7D" w:rsidR="002E114F" w:rsidRPr="002E114F" w:rsidRDefault="002E114F" w:rsidP="002E114F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 xml:space="preserve">Wide travel lanes contribute to high-speed traffic on Route 2. Seasonally and at commuter times, the area experiences heavy traffic. </w:t>
            </w:r>
          </w:p>
        </w:tc>
        <w:tc>
          <w:tcPr>
            <w:tcW w:w="3424" w:type="dxa"/>
            <w:shd w:val="clear" w:color="auto" w:fill="C5E0B3" w:themeFill="accent6" w:themeFillTint="66"/>
          </w:tcPr>
          <w:p w14:paraId="4F061CED" w14:textId="52C6238D" w:rsidR="002E114F" w:rsidRPr="00672A4B" w:rsidRDefault="00672A4B" w:rsidP="002E11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Walkable, pedestrian friendly streets, </w:t>
            </w:r>
            <w:proofErr w:type="gramStart"/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sidewalks</w:t>
            </w:r>
            <w:proofErr w:type="gramEnd"/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walkways.</w:t>
            </w:r>
          </w:p>
        </w:tc>
      </w:tr>
      <w:tr w:rsidR="002E114F" w:rsidRPr="00B767E6" w14:paraId="04A0DCC4" w14:textId="77777777" w:rsidTr="002E114F">
        <w:trPr>
          <w:trHeight w:val="486"/>
        </w:trPr>
        <w:tc>
          <w:tcPr>
            <w:tcW w:w="669" w:type="dxa"/>
            <w:vMerge/>
            <w:shd w:val="clear" w:color="auto" w:fill="C5E0B3" w:themeFill="accent6" w:themeFillTint="66"/>
          </w:tcPr>
          <w:p w14:paraId="76386FBF" w14:textId="77777777" w:rsidR="002E114F" w:rsidRDefault="002E114F" w:rsidP="00B767E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39" w:type="dxa"/>
            <w:shd w:val="clear" w:color="auto" w:fill="C5E0B3" w:themeFill="accent6" w:themeFillTint="66"/>
          </w:tcPr>
          <w:p w14:paraId="0C6EE162" w14:textId="60B76206" w:rsidR="002E114F" w:rsidRPr="002E114F" w:rsidRDefault="002E114F" w:rsidP="002E114F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>Compared to Route 2, South Street is a quiet residential road with a different feel from Route 2. This may vary depending on the section of South Steet (</w:t>
            </w:r>
            <w:proofErr w:type="gramStart"/>
            <w:r w:rsidRPr="002E114F">
              <w:rPr>
                <w:rFonts w:cstheme="minorHAnsi"/>
              </w:rPr>
              <w:t>i.e.</w:t>
            </w:r>
            <w:proofErr w:type="gramEnd"/>
            <w:r w:rsidRPr="002E114F">
              <w:rPr>
                <w:rFonts w:cstheme="minorHAnsi"/>
              </w:rPr>
              <w:t xml:space="preserve"> proximity to Rt 2). </w:t>
            </w:r>
          </w:p>
        </w:tc>
        <w:tc>
          <w:tcPr>
            <w:tcW w:w="3424" w:type="dxa"/>
            <w:shd w:val="clear" w:color="auto" w:fill="C5E0B3" w:themeFill="accent6" w:themeFillTint="66"/>
          </w:tcPr>
          <w:p w14:paraId="14C92BC5" w14:textId="77777777" w:rsidR="002E114F" w:rsidRPr="002E114F" w:rsidRDefault="002E114F" w:rsidP="002E11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114F" w:rsidRPr="00B767E6" w14:paraId="09014C95" w14:textId="77777777" w:rsidTr="002E114F">
        <w:trPr>
          <w:trHeight w:val="486"/>
        </w:trPr>
        <w:tc>
          <w:tcPr>
            <w:tcW w:w="669" w:type="dxa"/>
            <w:vMerge/>
            <w:shd w:val="clear" w:color="auto" w:fill="C5E0B3" w:themeFill="accent6" w:themeFillTint="66"/>
          </w:tcPr>
          <w:p w14:paraId="7107E017" w14:textId="77777777" w:rsidR="002E114F" w:rsidRDefault="002E114F" w:rsidP="00B767E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39" w:type="dxa"/>
            <w:shd w:val="clear" w:color="auto" w:fill="C5E0B3" w:themeFill="accent6" w:themeFillTint="66"/>
          </w:tcPr>
          <w:p w14:paraId="0943BCFC" w14:textId="6E23DDFB" w:rsidR="002E114F" w:rsidRPr="002E114F" w:rsidRDefault="002E114F" w:rsidP="002E114F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 xml:space="preserve">To the north of Route 2, there are more private roads and less development.  </w:t>
            </w:r>
          </w:p>
        </w:tc>
        <w:tc>
          <w:tcPr>
            <w:tcW w:w="3424" w:type="dxa"/>
            <w:shd w:val="clear" w:color="auto" w:fill="C5E0B3" w:themeFill="accent6" w:themeFillTint="66"/>
          </w:tcPr>
          <w:p w14:paraId="06B5D6E2" w14:textId="77777777" w:rsidR="002E114F" w:rsidRPr="002E114F" w:rsidRDefault="002E114F" w:rsidP="002E11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114F" w:rsidRPr="00B767E6" w14:paraId="53414F19" w14:textId="66A3DB36" w:rsidTr="002E114F">
        <w:trPr>
          <w:trHeight w:val="803"/>
        </w:trPr>
        <w:tc>
          <w:tcPr>
            <w:tcW w:w="669" w:type="dxa"/>
            <w:vMerge w:val="restart"/>
            <w:textDirection w:val="btLr"/>
            <w:vAlign w:val="center"/>
          </w:tcPr>
          <w:p w14:paraId="0DE4A8BD" w14:textId="4A18A574" w:rsidR="002E114F" w:rsidRPr="002E114F" w:rsidRDefault="002E114F" w:rsidP="002E114F">
            <w:pPr>
              <w:pStyle w:val="ListParagraph"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2E114F">
              <w:rPr>
                <w:b/>
                <w:bCs/>
                <w:sz w:val="28"/>
                <w:szCs w:val="28"/>
              </w:rPr>
              <w:t>South Hero Village in the Future</w:t>
            </w:r>
          </w:p>
        </w:tc>
        <w:tc>
          <w:tcPr>
            <w:tcW w:w="6839" w:type="dxa"/>
          </w:tcPr>
          <w:p w14:paraId="5007B897" w14:textId="6704CD5B" w:rsidR="002E114F" w:rsidRPr="002E114F" w:rsidRDefault="002E114F" w:rsidP="002E114F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 xml:space="preserve">Improved traffic flows, narrower lanes, addition of street trees, and slower speed limits (25 MPH) along Route 2. </w:t>
            </w:r>
          </w:p>
        </w:tc>
        <w:tc>
          <w:tcPr>
            <w:tcW w:w="3424" w:type="dxa"/>
          </w:tcPr>
          <w:p w14:paraId="6902E808" w14:textId="77777777" w:rsidR="00672A4B" w:rsidRPr="002E114F" w:rsidRDefault="00672A4B" w:rsidP="00672A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Walkable, pedestrian friendly streets, </w:t>
            </w:r>
            <w:proofErr w:type="gramStart"/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sidewalks</w:t>
            </w:r>
            <w:proofErr w:type="gramEnd"/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walkways.</w:t>
            </w:r>
          </w:p>
          <w:p w14:paraId="371D8554" w14:textId="77777777" w:rsidR="002E114F" w:rsidRPr="002E114F" w:rsidRDefault="002E114F" w:rsidP="002E11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114F" w:rsidRPr="00B767E6" w14:paraId="6DC609E1" w14:textId="0290B1C6" w:rsidTr="002E114F">
        <w:trPr>
          <w:trHeight w:val="803"/>
        </w:trPr>
        <w:tc>
          <w:tcPr>
            <w:tcW w:w="669" w:type="dxa"/>
            <w:vMerge/>
          </w:tcPr>
          <w:p w14:paraId="2025499F" w14:textId="77777777" w:rsidR="002E114F" w:rsidRPr="00B767E6" w:rsidRDefault="002E114F" w:rsidP="00AD2E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39" w:type="dxa"/>
          </w:tcPr>
          <w:p w14:paraId="0B844E8C" w14:textId="182A0C44" w:rsidR="002E114F" w:rsidRPr="002E114F" w:rsidRDefault="002E114F" w:rsidP="002E114F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 xml:space="preserve">Better access for </w:t>
            </w:r>
            <w:proofErr w:type="gramStart"/>
            <w:r w:rsidRPr="002E114F">
              <w:rPr>
                <w:rFonts w:cstheme="minorHAnsi"/>
              </w:rPr>
              <w:t>pedestrian</w:t>
            </w:r>
            <w:proofErr w:type="gramEnd"/>
            <w:r w:rsidRPr="002E114F">
              <w:rPr>
                <w:rFonts w:cstheme="minorHAnsi"/>
              </w:rPr>
              <w:t xml:space="preserve"> and bicyclists including better sidewalks on Route 2, adding sidewalks to South Street, a bike path/lane and recreation trail connecting to the Village. </w:t>
            </w:r>
          </w:p>
        </w:tc>
        <w:tc>
          <w:tcPr>
            <w:tcW w:w="3424" w:type="dxa"/>
          </w:tcPr>
          <w:p w14:paraId="14A7B4D6" w14:textId="77777777" w:rsidR="002E114F" w:rsidRPr="002E114F" w:rsidRDefault="002E114F" w:rsidP="002E11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Walkable, pedestrian friendly streets, </w:t>
            </w:r>
            <w:proofErr w:type="gramStart"/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sidewalks</w:t>
            </w:r>
            <w:proofErr w:type="gramEnd"/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walkways.</w:t>
            </w:r>
          </w:p>
          <w:p w14:paraId="0400ACA2" w14:textId="77777777" w:rsidR="002E114F" w:rsidRPr="002E114F" w:rsidRDefault="002E114F" w:rsidP="002E114F">
            <w:pPr>
              <w:pStyle w:val="ListParagraph"/>
              <w:ind w:left="10"/>
              <w:rPr>
                <w:rFonts w:cstheme="minorHAnsi"/>
              </w:rPr>
            </w:pPr>
          </w:p>
        </w:tc>
      </w:tr>
      <w:tr w:rsidR="002E114F" w:rsidRPr="00B767E6" w14:paraId="02060E4F" w14:textId="28EB8312" w:rsidTr="002E114F">
        <w:trPr>
          <w:trHeight w:val="803"/>
        </w:trPr>
        <w:tc>
          <w:tcPr>
            <w:tcW w:w="669" w:type="dxa"/>
            <w:vMerge/>
          </w:tcPr>
          <w:p w14:paraId="22700537" w14:textId="77777777" w:rsidR="002E114F" w:rsidRPr="00B767E6" w:rsidRDefault="002E114F" w:rsidP="00AD2E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39" w:type="dxa"/>
          </w:tcPr>
          <w:p w14:paraId="6175DF58" w14:textId="51862616" w:rsidR="002E114F" w:rsidRPr="002E114F" w:rsidRDefault="002E114F" w:rsidP="002E114F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>Smaller size of core area and development/zoning focused on the Route 2 area, preserving existing farmland outside of this area.</w:t>
            </w:r>
          </w:p>
        </w:tc>
        <w:tc>
          <w:tcPr>
            <w:tcW w:w="3424" w:type="dxa"/>
          </w:tcPr>
          <w:p w14:paraId="6E100731" w14:textId="79063925" w:rsidR="002E114F" w:rsidRPr="002E114F" w:rsidRDefault="002E114F" w:rsidP="002E11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Traditional village centers consisting of a concentration of residential, </w:t>
            </w:r>
            <w:proofErr w:type="gramStart"/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commercial</w:t>
            </w:r>
            <w:proofErr w:type="gramEnd"/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public land uses at higher densities than other parts of town.</w:t>
            </w:r>
          </w:p>
        </w:tc>
      </w:tr>
      <w:tr w:rsidR="002E114F" w:rsidRPr="00B767E6" w14:paraId="1AFAB438" w14:textId="77F0E68F" w:rsidTr="002E114F">
        <w:trPr>
          <w:trHeight w:val="629"/>
        </w:trPr>
        <w:tc>
          <w:tcPr>
            <w:tcW w:w="669" w:type="dxa"/>
            <w:vMerge/>
          </w:tcPr>
          <w:p w14:paraId="0B7A36C0" w14:textId="77777777" w:rsidR="002E114F" w:rsidRPr="00B767E6" w:rsidRDefault="002E114F" w:rsidP="00AD2E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39" w:type="dxa"/>
          </w:tcPr>
          <w:p w14:paraId="3D5FB049" w14:textId="37B9659D" w:rsidR="002E114F" w:rsidRPr="002E114F" w:rsidRDefault="002E114F" w:rsidP="002E114F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 xml:space="preserve">Maintaining existing character of South Street, including density, setbacks and avoiding a “cookie-cutter” look. </w:t>
            </w:r>
          </w:p>
        </w:tc>
        <w:tc>
          <w:tcPr>
            <w:tcW w:w="3424" w:type="dxa"/>
          </w:tcPr>
          <w:p w14:paraId="6FC9F900" w14:textId="0FD55EDC" w:rsidR="002E114F" w:rsidRPr="002E114F" w:rsidRDefault="002E114F" w:rsidP="002E11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Maintain historic character through design, </w:t>
            </w:r>
            <w:proofErr w:type="gramStart"/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siting</w:t>
            </w:r>
            <w:proofErr w:type="gramEnd"/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scale </w:t>
            </w:r>
          </w:p>
        </w:tc>
      </w:tr>
      <w:tr w:rsidR="002E114F" w:rsidRPr="00B767E6" w14:paraId="27CF585F" w14:textId="32627B59" w:rsidTr="002E114F">
        <w:trPr>
          <w:trHeight w:val="620"/>
        </w:trPr>
        <w:tc>
          <w:tcPr>
            <w:tcW w:w="669" w:type="dxa"/>
            <w:vMerge/>
          </w:tcPr>
          <w:p w14:paraId="27B84033" w14:textId="77777777" w:rsidR="002E114F" w:rsidRPr="00B767E6" w:rsidRDefault="002E114F" w:rsidP="00AD2E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39" w:type="dxa"/>
          </w:tcPr>
          <w:p w14:paraId="1EE08EB4" w14:textId="6A9315CD" w:rsidR="002E114F" w:rsidRPr="002E114F" w:rsidRDefault="002E114F" w:rsidP="002E114F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>Mixed opinions on industry in the Village including:</w:t>
            </w:r>
          </w:p>
        </w:tc>
        <w:tc>
          <w:tcPr>
            <w:tcW w:w="3424" w:type="dxa"/>
          </w:tcPr>
          <w:p w14:paraId="0722D309" w14:textId="5E0B4CDA" w:rsidR="002E114F" w:rsidRPr="002E114F" w:rsidRDefault="002E114F" w:rsidP="002E11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Commercial and mixed-use development is encouraged.</w:t>
            </w:r>
          </w:p>
        </w:tc>
      </w:tr>
      <w:tr w:rsidR="002E114F" w:rsidRPr="00B767E6" w14:paraId="7680A9CC" w14:textId="5E06C19B" w:rsidTr="002E114F">
        <w:trPr>
          <w:trHeight w:val="260"/>
        </w:trPr>
        <w:tc>
          <w:tcPr>
            <w:tcW w:w="669" w:type="dxa"/>
            <w:vMerge/>
          </w:tcPr>
          <w:p w14:paraId="73560BE1" w14:textId="77777777" w:rsidR="002E114F" w:rsidRPr="00B767E6" w:rsidRDefault="002E114F" w:rsidP="00AD2E20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6839" w:type="dxa"/>
            <w:vAlign w:val="center"/>
          </w:tcPr>
          <w:p w14:paraId="587E0B34" w14:textId="6283BF7D" w:rsidR="002E114F" w:rsidRPr="002E114F" w:rsidRDefault="002E114F" w:rsidP="002E114F">
            <w:pPr>
              <w:pStyle w:val="ListParagraph"/>
              <w:numPr>
                <w:ilvl w:val="1"/>
                <w:numId w:val="4"/>
              </w:numPr>
              <w:ind w:left="660"/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>No industry in the Village</w:t>
            </w:r>
          </w:p>
        </w:tc>
        <w:tc>
          <w:tcPr>
            <w:tcW w:w="3424" w:type="dxa"/>
          </w:tcPr>
          <w:p w14:paraId="443E4022" w14:textId="3AF65D6E" w:rsidR="002E114F" w:rsidRPr="002E114F" w:rsidRDefault="002E114F" w:rsidP="002E11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Small, low impact industry.</w:t>
            </w:r>
          </w:p>
        </w:tc>
      </w:tr>
      <w:tr w:rsidR="002E114F" w:rsidRPr="00B767E6" w14:paraId="0D82AAEC" w14:textId="232F369D" w:rsidTr="002E114F">
        <w:trPr>
          <w:trHeight w:val="341"/>
        </w:trPr>
        <w:tc>
          <w:tcPr>
            <w:tcW w:w="669" w:type="dxa"/>
            <w:vMerge/>
          </w:tcPr>
          <w:p w14:paraId="306C167B" w14:textId="77777777" w:rsidR="002E114F" w:rsidRPr="00B767E6" w:rsidRDefault="002E114F" w:rsidP="00AD2E20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6839" w:type="dxa"/>
            <w:vAlign w:val="center"/>
          </w:tcPr>
          <w:p w14:paraId="40FEE421" w14:textId="47129F0A" w:rsidR="002E114F" w:rsidRPr="002E114F" w:rsidRDefault="002E114F" w:rsidP="002E114F">
            <w:pPr>
              <w:pStyle w:val="ListParagraph"/>
              <w:numPr>
                <w:ilvl w:val="1"/>
                <w:numId w:val="4"/>
              </w:numPr>
              <w:ind w:left="660"/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>Only specific types of industry in the village, defined by zoning</w:t>
            </w:r>
          </w:p>
        </w:tc>
        <w:tc>
          <w:tcPr>
            <w:tcW w:w="3424" w:type="dxa"/>
          </w:tcPr>
          <w:p w14:paraId="654EEBD7" w14:textId="77777777" w:rsidR="002E114F" w:rsidRPr="002E114F" w:rsidRDefault="002E114F" w:rsidP="002E114F">
            <w:pPr>
              <w:pStyle w:val="ListParagraph"/>
              <w:numPr>
                <w:ilvl w:val="1"/>
                <w:numId w:val="1"/>
              </w:numPr>
              <w:ind w:left="10" w:firstLine="0"/>
              <w:rPr>
                <w:rFonts w:cstheme="minorHAnsi"/>
              </w:rPr>
            </w:pPr>
          </w:p>
        </w:tc>
      </w:tr>
      <w:tr w:rsidR="002E114F" w:rsidRPr="00B767E6" w14:paraId="0544C626" w14:textId="1FBA89E6" w:rsidTr="002E114F">
        <w:trPr>
          <w:trHeight w:val="350"/>
        </w:trPr>
        <w:tc>
          <w:tcPr>
            <w:tcW w:w="669" w:type="dxa"/>
            <w:vMerge/>
          </w:tcPr>
          <w:p w14:paraId="510225A0" w14:textId="77777777" w:rsidR="002E114F" w:rsidRPr="00B767E6" w:rsidRDefault="002E114F" w:rsidP="00AD2E20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6839" w:type="dxa"/>
            <w:vAlign w:val="center"/>
          </w:tcPr>
          <w:p w14:paraId="68E3C68C" w14:textId="3DA729FA" w:rsidR="002E114F" w:rsidRPr="002E114F" w:rsidRDefault="002E114F" w:rsidP="002E114F">
            <w:pPr>
              <w:pStyle w:val="ListParagraph"/>
              <w:numPr>
                <w:ilvl w:val="1"/>
                <w:numId w:val="4"/>
              </w:numPr>
              <w:ind w:left="660"/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 xml:space="preserve">More industry in the village to make tax revenue </w:t>
            </w:r>
          </w:p>
        </w:tc>
        <w:tc>
          <w:tcPr>
            <w:tcW w:w="3424" w:type="dxa"/>
          </w:tcPr>
          <w:p w14:paraId="5248FA85" w14:textId="77777777" w:rsidR="002E114F" w:rsidRPr="002E114F" w:rsidRDefault="002E114F" w:rsidP="002E114F">
            <w:pPr>
              <w:pStyle w:val="ListParagraph"/>
              <w:numPr>
                <w:ilvl w:val="1"/>
                <w:numId w:val="1"/>
              </w:numPr>
              <w:ind w:left="10" w:firstLine="0"/>
              <w:rPr>
                <w:rFonts w:cstheme="minorHAnsi"/>
              </w:rPr>
            </w:pPr>
          </w:p>
        </w:tc>
      </w:tr>
      <w:tr w:rsidR="002E114F" w:rsidRPr="00B767E6" w14:paraId="4FC39963" w14:textId="54BFA279" w:rsidTr="002E114F">
        <w:trPr>
          <w:trHeight w:val="611"/>
        </w:trPr>
        <w:tc>
          <w:tcPr>
            <w:tcW w:w="669" w:type="dxa"/>
            <w:vMerge/>
          </w:tcPr>
          <w:p w14:paraId="3968EEF7" w14:textId="77777777" w:rsidR="002E114F" w:rsidRPr="00B767E6" w:rsidRDefault="002E114F" w:rsidP="00AD2E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39" w:type="dxa"/>
          </w:tcPr>
          <w:p w14:paraId="3A7258C0" w14:textId="5A6A41BE" w:rsidR="002E114F" w:rsidRPr="002E114F" w:rsidRDefault="002E114F" w:rsidP="002E114F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>Standards to protect residential development from commercial growth such as buffers (some existing standards with conditional use).</w:t>
            </w:r>
          </w:p>
        </w:tc>
        <w:tc>
          <w:tcPr>
            <w:tcW w:w="3424" w:type="dxa"/>
          </w:tcPr>
          <w:p w14:paraId="56C8D3D9" w14:textId="77777777" w:rsidR="002E114F" w:rsidRPr="002E114F" w:rsidRDefault="002E114F" w:rsidP="002E114F">
            <w:pPr>
              <w:pStyle w:val="ListParagraph"/>
              <w:ind w:left="10"/>
              <w:rPr>
                <w:rFonts w:cstheme="minorHAnsi"/>
              </w:rPr>
            </w:pPr>
          </w:p>
        </w:tc>
      </w:tr>
      <w:tr w:rsidR="002E114F" w:rsidRPr="00B767E6" w14:paraId="4093FACF" w14:textId="71740824" w:rsidTr="002E114F">
        <w:trPr>
          <w:trHeight w:val="341"/>
        </w:trPr>
        <w:tc>
          <w:tcPr>
            <w:tcW w:w="669" w:type="dxa"/>
            <w:vMerge/>
          </w:tcPr>
          <w:p w14:paraId="7DE513B4" w14:textId="77777777" w:rsidR="002E114F" w:rsidRPr="00B767E6" w:rsidRDefault="002E114F" w:rsidP="00AD2E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39" w:type="dxa"/>
          </w:tcPr>
          <w:p w14:paraId="1DE04A6D" w14:textId="09A44483" w:rsidR="002E114F" w:rsidRPr="002E114F" w:rsidRDefault="002E114F" w:rsidP="002E114F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>Noise ordinance to limit potential disturbances.</w:t>
            </w:r>
          </w:p>
        </w:tc>
        <w:tc>
          <w:tcPr>
            <w:tcW w:w="3424" w:type="dxa"/>
          </w:tcPr>
          <w:p w14:paraId="0B6944E4" w14:textId="77777777" w:rsidR="002E114F" w:rsidRPr="002E114F" w:rsidRDefault="002E114F" w:rsidP="002E114F">
            <w:pPr>
              <w:pStyle w:val="ListParagraph"/>
              <w:ind w:left="10"/>
              <w:rPr>
                <w:rFonts w:cstheme="minorHAnsi"/>
              </w:rPr>
            </w:pPr>
          </w:p>
        </w:tc>
      </w:tr>
      <w:tr w:rsidR="00672A4B" w:rsidRPr="00B767E6" w14:paraId="767502D4" w14:textId="6084A363" w:rsidTr="002E114F">
        <w:trPr>
          <w:trHeight w:val="341"/>
        </w:trPr>
        <w:tc>
          <w:tcPr>
            <w:tcW w:w="669" w:type="dxa"/>
            <w:vMerge/>
          </w:tcPr>
          <w:p w14:paraId="0A17F4B3" w14:textId="77777777" w:rsidR="00672A4B" w:rsidRPr="00B767E6" w:rsidRDefault="00672A4B" w:rsidP="00672A4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39" w:type="dxa"/>
          </w:tcPr>
          <w:p w14:paraId="0809AE6B" w14:textId="5831D07B" w:rsidR="00672A4B" w:rsidRPr="002E114F" w:rsidRDefault="00672A4B" w:rsidP="00672A4B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>Park and recreation area developed behind Meeting House.</w:t>
            </w:r>
          </w:p>
        </w:tc>
        <w:tc>
          <w:tcPr>
            <w:tcW w:w="3424" w:type="dxa"/>
          </w:tcPr>
          <w:p w14:paraId="16CF95DC" w14:textId="77777777" w:rsidR="00672A4B" w:rsidRPr="002E114F" w:rsidRDefault="00672A4B" w:rsidP="00672A4B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Places for the community to gather for social and cultural events. </w:t>
            </w:r>
          </w:p>
          <w:p w14:paraId="5B7CEE85" w14:textId="34B4E5E0" w:rsidR="00672A4B" w:rsidRPr="002E114F" w:rsidRDefault="00672A4B" w:rsidP="00672A4B">
            <w:pPr>
              <w:pStyle w:val="ListParagraph"/>
              <w:ind w:left="10"/>
              <w:rPr>
                <w:rFonts w:cstheme="minorHAnsi"/>
              </w:rPr>
            </w:pPr>
            <w:r w:rsidRPr="002E114F">
              <w:rPr>
                <w:rFonts w:cstheme="minorHAnsi"/>
              </w:rPr>
              <w:t xml:space="preserve">Government services. </w:t>
            </w:r>
          </w:p>
        </w:tc>
      </w:tr>
      <w:tr w:rsidR="00672A4B" w:rsidRPr="00B767E6" w14:paraId="007C89DA" w14:textId="62D7512F" w:rsidTr="002E114F">
        <w:trPr>
          <w:trHeight w:val="332"/>
        </w:trPr>
        <w:tc>
          <w:tcPr>
            <w:tcW w:w="669" w:type="dxa"/>
            <w:vMerge/>
          </w:tcPr>
          <w:p w14:paraId="7ECE02F8" w14:textId="77777777" w:rsidR="00672A4B" w:rsidRPr="00B767E6" w:rsidRDefault="00672A4B" w:rsidP="00672A4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39" w:type="dxa"/>
          </w:tcPr>
          <w:p w14:paraId="01FA758E" w14:textId="54132DB9" w:rsidR="00672A4B" w:rsidRPr="002E114F" w:rsidRDefault="00672A4B" w:rsidP="00672A4B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>Village has access to community/public wastewater.</w:t>
            </w:r>
          </w:p>
        </w:tc>
        <w:tc>
          <w:tcPr>
            <w:tcW w:w="3424" w:type="dxa"/>
          </w:tcPr>
          <w:p w14:paraId="038A416F" w14:textId="77777777" w:rsidR="00672A4B" w:rsidRDefault="00672A4B" w:rsidP="00672A4B">
            <w:pPr>
              <w:pStyle w:val="ListParagraph"/>
              <w:ind w:left="10"/>
              <w:rPr>
                <w:rFonts w:cstheme="minorHAnsi"/>
              </w:rPr>
            </w:pPr>
            <w:r w:rsidRPr="002E114F">
              <w:rPr>
                <w:rFonts w:cstheme="minorHAnsi"/>
              </w:rPr>
              <w:t>land uses at higher densities than other parts of town.</w:t>
            </w:r>
          </w:p>
          <w:p w14:paraId="7952755A" w14:textId="5586E295" w:rsidR="00672A4B" w:rsidRPr="002E114F" w:rsidRDefault="00672A4B" w:rsidP="00672A4B">
            <w:pPr>
              <w:pStyle w:val="ListParagraph"/>
              <w:ind w:left="10"/>
              <w:rPr>
                <w:rFonts w:cstheme="minorHAnsi"/>
              </w:rPr>
            </w:pPr>
            <w:r w:rsidRPr="002E114F">
              <w:rPr>
                <w:rFonts w:cstheme="minorHAnsi"/>
              </w:rPr>
              <w:t>Government services.</w:t>
            </w:r>
          </w:p>
        </w:tc>
      </w:tr>
      <w:tr w:rsidR="00672A4B" w:rsidRPr="00B767E6" w14:paraId="41B5F851" w14:textId="6B6CF282" w:rsidTr="002E114F">
        <w:trPr>
          <w:trHeight w:val="422"/>
        </w:trPr>
        <w:tc>
          <w:tcPr>
            <w:tcW w:w="669" w:type="dxa"/>
            <w:vMerge/>
          </w:tcPr>
          <w:p w14:paraId="15E650D7" w14:textId="77777777" w:rsidR="00672A4B" w:rsidRPr="00B767E6" w:rsidRDefault="00672A4B" w:rsidP="00672A4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39" w:type="dxa"/>
          </w:tcPr>
          <w:p w14:paraId="44C12BB1" w14:textId="5F3EB187" w:rsidR="00672A4B" w:rsidRPr="002E114F" w:rsidRDefault="00672A4B" w:rsidP="00672A4B">
            <w:pPr>
              <w:rPr>
                <w:rFonts w:cstheme="minorHAnsi"/>
                <w:u w:val="single"/>
              </w:rPr>
            </w:pPr>
            <w:r w:rsidRPr="002E114F">
              <w:rPr>
                <w:rFonts w:cstheme="minorHAnsi"/>
              </w:rPr>
              <w:t xml:space="preserve">Supports </w:t>
            </w:r>
            <w:proofErr w:type="gramStart"/>
            <w:r w:rsidRPr="002E114F">
              <w:rPr>
                <w:rFonts w:cstheme="minorHAnsi"/>
              </w:rPr>
              <w:t>needs</w:t>
            </w:r>
            <w:proofErr w:type="gramEnd"/>
            <w:r w:rsidRPr="002E114F">
              <w:rPr>
                <w:rFonts w:cstheme="minorHAnsi"/>
              </w:rPr>
              <w:t xml:space="preserve"> of year-round residents. </w:t>
            </w:r>
          </w:p>
        </w:tc>
        <w:tc>
          <w:tcPr>
            <w:tcW w:w="3424" w:type="dxa"/>
          </w:tcPr>
          <w:p w14:paraId="4DA045F5" w14:textId="77777777" w:rsidR="00672A4B" w:rsidRPr="002E114F" w:rsidRDefault="00672A4B" w:rsidP="00672A4B">
            <w:pPr>
              <w:pStyle w:val="ListParagraph"/>
              <w:ind w:left="10"/>
              <w:rPr>
                <w:rFonts w:cstheme="minorHAnsi"/>
              </w:rPr>
            </w:pPr>
          </w:p>
        </w:tc>
      </w:tr>
      <w:tr w:rsidR="00672A4B" w:rsidRPr="00B767E6" w14:paraId="6488CB0A" w14:textId="77777777" w:rsidTr="002E114F">
        <w:trPr>
          <w:trHeight w:val="1071"/>
        </w:trPr>
        <w:tc>
          <w:tcPr>
            <w:tcW w:w="669" w:type="dxa"/>
          </w:tcPr>
          <w:p w14:paraId="142C4769" w14:textId="77777777" w:rsidR="00672A4B" w:rsidRPr="00B767E6" w:rsidRDefault="00672A4B" w:rsidP="00672A4B"/>
        </w:tc>
        <w:tc>
          <w:tcPr>
            <w:tcW w:w="6839" w:type="dxa"/>
          </w:tcPr>
          <w:p w14:paraId="53FB6455" w14:textId="3FB815E2" w:rsidR="00672A4B" w:rsidRPr="002E114F" w:rsidRDefault="00672A4B" w:rsidP="00672A4B">
            <w:pPr>
              <w:rPr>
                <w:rFonts w:cstheme="minorHAnsi"/>
              </w:rPr>
            </w:pPr>
          </w:p>
        </w:tc>
        <w:tc>
          <w:tcPr>
            <w:tcW w:w="3424" w:type="dxa"/>
          </w:tcPr>
          <w:p w14:paraId="6E44E818" w14:textId="3138E22E" w:rsidR="00672A4B" w:rsidRPr="002E114F" w:rsidRDefault="00672A4B" w:rsidP="00672A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Human-scaled buildings with architectural details, </w:t>
            </w:r>
            <w:proofErr w:type="gramStart"/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landscaping</w:t>
            </w:r>
            <w:proofErr w:type="gramEnd"/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lighting. </w:t>
            </w:r>
          </w:p>
        </w:tc>
      </w:tr>
      <w:tr w:rsidR="00672A4B" w:rsidRPr="00B767E6" w14:paraId="3172AB10" w14:textId="77777777" w:rsidTr="002E114F">
        <w:trPr>
          <w:trHeight w:val="982"/>
        </w:trPr>
        <w:tc>
          <w:tcPr>
            <w:tcW w:w="669" w:type="dxa"/>
          </w:tcPr>
          <w:p w14:paraId="2EC284AF" w14:textId="77777777" w:rsidR="00672A4B" w:rsidRPr="00B767E6" w:rsidRDefault="00672A4B" w:rsidP="00672A4B"/>
        </w:tc>
        <w:tc>
          <w:tcPr>
            <w:tcW w:w="6839" w:type="dxa"/>
          </w:tcPr>
          <w:p w14:paraId="6F0D337F" w14:textId="01BC457D" w:rsidR="00672A4B" w:rsidRPr="002E114F" w:rsidRDefault="00672A4B" w:rsidP="00672A4B">
            <w:pPr>
              <w:rPr>
                <w:rFonts w:cstheme="minorHAnsi"/>
              </w:rPr>
            </w:pPr>
          </w:p>
        </w:tc>
        <w:tc>
          <w:tcPr>
            <w:tcW w:w="3424" w:type="dxa"/>
          </w:tcPr>
          <w:p w14:paraId="5AEE838B" w14:textId="77777777" w:rsidR="00672A4B" w:rsidRPr="002E114F" w:rsidRDefault="00672A4B" w:rsidP="00672A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Integrated street network.</w:t>
            </w:r>
          </w:p>
          <w:p w14:paraId="687D7EB4" w14:textId="77777777" w:rsidR="00672A4B" w:rsidRPr="002E114F" w:rsidRDefault="00672A4B" w:rsidP="00672A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D6DE1F6" w14:textId="77777777" w:rsidR="00B767E6" w:rsidRPr="00B767E6" w:rsidRDefault="00B767E6" w:rsidP="00B768F6">
      <w:pPr>
        <w:rPr>
          <w:b/>
          <w:bCs/>
          <w:sz w:val="24"/>
          <w:szCs w:val="24"/>
          <w:u w:val="single"/>
        </w:rPr>
      </w:pPr>
    </w:p>
    <w:p w14:paraId="2549322B" w14:textId="77777777" w:rsidR="00B767E6" w:rsidRPr="00B767E6" w:rsidRDefault="00B767E6" w:rsidP="00B767E6">
      <w:pPr>
        <w:pStyle w:val="Default"/>
        <w:rPr>
          <w:color w:val="auto"/>
        </w:rPr>
      </w:pPr>
    </w:p>
    <w:p w14:paraId="1809D769" w14:textId="77777777" w:rsidR="00B767E6" w:rsidRPr="00B767E6" w:rsidRDefault="00B767E6" w:rsidP="00B768F6">
      <w:pPr>
        <w:rPr>
          <w:b/>
          <w:bCs/>
          <w:sz w:val="24"/>
          <w:szCs w:val="24"/>
          <w:u w:val="single"/>
        </w:rPr>
      </w:pPr>
    </w:p>
    <w:p w14:paraId="39F780F8" w14:textId="77777777" w:rsidR="00B767E6" w:rsidRPr="00B767E6" w:rsidRDefault="00B767E6" w:rsidP="00B768F6">
      <w:pPr>
        <w:rPr>
          <w:b/>
          <w:bCs/>
          <w:sz w:val="24"/>
          <w:szCs w:val="24"/>
          <w:u w:val="single"/>
        </w:rPr>
      </w:pPr>
    </w:p>
    <w:p w14:paraId="1A414943" w14:textId="4C998E5E" w:rsidR="00B768F6" w:rsidRDefault="00B768F6" w:rsidP="00B768F6">
      <w:pPr>
        <w:rPr>
          <w:b/>
          <w:bCs/>
          <w:u w:val="single"/>
        </w:rPr>
      </w:pPr>
      <w:r>
        <w:rPr>
          <w:b/>
          <w:bCs/>
          <w:u w:val="single"/>
        </w:rPr>
        <w:t>Keeler Bay Village Today</w:t>
      </w:r>
    </w:p>
    <w:p w14:paraId="77F43E67" w14:textId="4A9CAE00" w:rsidR="00B768F6" w:rsidRDefault="00B768F6" w:rsidP="00B768F6">
      <w:pPr>
        <w:pStyle w:val="ListParagraph"/>
        <w:numPr>
          <w:ilvl w:val="0"/>
          <w:numId w:val="1"/>
        </w:numPr>
      </w:pPr>
      <w:r>
        <w:t xml:space="preserve">Site of a church &amp; </w:t>
      </w:r>
      <w:r w:rsidR="006E56CD">
        <w:t xml:space="preserve">seasonal </w:t>
      </w:r>
      <w:r>
        <w:t xml:space="preserve">farmer’s market. </w:t>
      </w:r>
    </w:p>
    <w:p w14:paraId="5F5A7A56" w14:textId="77CC1AED" w:rsidR="00B768F6" w:rsidRDefault="00B768F6" w:rsidP="00B768F6">
      <w:pPr>
        <w:pStyle w:val="ListParagraph"/>
        <w:numPr>
          <w:ilvl w:val="0"/>
          <w:numId w:val="1"/>
        </w:numPr>
      </w:pPr>
      <w:r>
        <w:t xml:space="preserve">Lack of shoulder, </w:t>
      </w:r>
      <w:proofErr w:type="gramStart"/>
      <w:r>
        <w:t>sidewalk</w:t>
      </w:r>
      <w:proofErr w:type="gramEnd"/>
      <w:r>
        <w:t xml:space="preserve"> or crosswalk on Route 2. Traffic is often congested and there is not adequate parking in busy seasons. </w:t>
      </w:r>
    </w:p>
    <w:p w14:paraId="6F347385" w14:textId="070ACDB8" w:rsidR="00B768F6" w:rsidRDefault="00B768F6" w:rsidP="00B768F6">
      <w:pPr>
        <w:pStyle w:val="ListParagraph"/>
        <w:numPr>
          <w:ilvl w:val="0"/>
          <w:numId w:val="1"/>
        </w:numPr>
      </w:pPr>
      <w:r>
        <w:t>Some residents described the area as not aesthetically pleasing.</w:t>
      </w:r>
    </w:p>
    <w:p w14:paraId="4482D2BA" w14:textId="46F80D98" w:rsidR="00B768F6" w:rsidRDefault="00B768F6" w:rsidP="00B768F6">
      <w:pPr>
        <w:pStyle w:val="ListParagraph"/>
        <w:numPr>
          <w:ilvl w:val="0"/>
          <w:numId w:val="1"/>
        </w:numPr>
      </w:pPr>
      <w:r>
        <w:t>Suburban character, although some residents noted that there are several businesses</w:t>
      </w:r>
    </w:p>
    <w:p w14:paraId="6173BCEE" w14:textId="2DD94E9D" w:rsidR="00B768F6" w:rsidRDefault="00B768F6" w:rsidP="00B768F6">
      <w:pPr>
        <w:pStyle w:val="ListParagraph"/>
        <w:numPr>
          <w:ilvl w:val="0"/>
          <w:numId w:val="1"/>
        </w:numPr>
      </w:pPr>
      <w:r>
        <w:t xml:space="preserve">Many of the existing businesses focus on </w:t>
      </w:r>
      <w:r w:rsidR="006E56CD">
        <w:t xml:space="preserve">seasonal needs. </w:t>
      </w:r>
    </w:p>
    <w:p w14:paraId="61B5E40C" w14:textId="14B1EACD" w:rsidR="00B768F6" w:rsidRDefault="00B768F6" w:rsidP="00B768F6">
      <w:pPr>
        <w:ind w:left="360"/>
      </w:pPr>
    </w:p>
    <w:p w14:paraId="08896975" w14:textId="6C1B6259" w:rsidR="00B768F6" w:rsidRDefault="00B768F6" w:rsidP="00B768F6">
      <w:pPr>
        <w:ind w:left="360"/>
        <w:rPr>
          <w:b/>
          <w:bCs/>
          <w:u w:val="single"/>
        </w:rPr>
      </w:pPr>
      <w:r w:rsidRPr="00B768F6">
        <w:rPr>
          <w:b/>
          <w:bCs/>
          <w:u w:val="single"/>
        </w:rPr>
        <w:t>Keeler Bay in the Future</w:t>
      </w:r>
    </w:p>
    <w:p w14:paraId="7198DF39" w14:textId="4699C2A9" w:rsidR="00B768F6" w:rsidRPr="00B768F6" w:rsidRDefault="00B768F6" w:rsidP="00B768F6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Similar goals regarding traffic &amp; walkability as with Route 2 in the South Hero Village, adding crosswalks with signage. </w:t>
      </w:r>
    </w:p>
    <w:p w14:paraId="13CDA344" w14:textId="3DDBAC26" w:rsidR="00B768F6" w:rsidRPr="00B768F6" w:rsidRDefault="00B768F6" w:rsidP="00B768F6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Access to community/public wastewater. </w:t>
      </w:r>
    </w:p>
    <w:p w14:paraId="2F67FB6F" w14:textId="09CF42E3" w:rsidR="00B768F6" w:rsidRPr="00B768F6" w:rsidRDefault="00B768F6" w:rsidP="00B768F6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Caters to both seasonal and year-round population in the area, with increased focus on needs of year-round residents. </w:t>
      </w:r>
    </w:p>
    <w:p w14:paraId="499750FD" w14:textId="72162495" w:rsidR="00B768F6" w:rsidRPr="00B768F6" w:rsidRDefault="00B768F6" w:rsidP="00B768F6">
      <w:pPr>
        <w:pStyle w:val="ListParagraph"/>
        <w:numPr>
          <w:ilvl w:val="0"/>
          <w:numId w:val="1"/>
        </w:numPr>
        <w:rPr>
          <w:u w:val="single"/>
        </w:rPr>
      </w:pPr>
      <w:r>
        <w:t>Safer parking</w:t>
      </w:r>
      <w:r w:rsidR="006E56CD">
        <w:t xml:space="preserve"> at Keeler Bay Variety. </w:t>
      </w:r>
    </w:p>
    <w:sectPr w:rsidR="00B768F6" w:rsidRPr="00B768F6" w:rsidSect="002E1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53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7B06C3"/>
    <w:multiLevelType w:val="hybridMultilevel"/>
    <w:tmpl w:val="348669B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25E1E"/>
    <w:multiLevelType w:val="hybridMultilevel"/>
    <w:tmpl w:val="FFB087DE"/>
    <w:lvl w:ilvl="0" w:tplc="D2521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50157"/>
    <w:multiLevelType w:val="hybridMultilevel"/>
    <w:tmpl w:val="86FA95D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FDC05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566495">
    <w:abstractNumId w:val="2"/>
  </w:num>
  <w:num w:numId="2" w16cid:durableId="1393699560">
    <w:abstractNumId w:val="0"/>
  </w:num>
  <w:num w:numId="3" w16cid:durableId="136804190">
    <w:abstractNumId w:val="1"/>
  </w:num>
  <w:num w:numId="4" w16cid:durableId="39986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0D"/>
    <w:rsid w:val="000701C7"/>
    <w:rsid w:val="001C7B0D"/>
    <w:rsid w:val="002E114F"/>
    <w:rsid w:val="00300122"/>
    <w:rsid w:val="00477DA7"/>
    <w:rsid w:val="00672A4B"/>
    <w:rsid w:val="006E56CD"/>
    <w:rsid w:val="00B767E6"/>
    <w:rsid w:val="00B768F6"/>
    <w:rsid w:val="00D0025E"/>
    <w:rsid w:val="00E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E64D"/>
  <w15:chartTrackingRefBased/>
  <w15:docId w15:val="{73BC4765-7D2E-465A-9ABF-13DD6327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0D"/>
    <w:pPr>
      <w:ind w:left="720"/>
      <w:contextualSpacing/>
    </w:pPr>
  </w:style>
  <w:style w:type="table" w:styleId="TableGrid">
    <w:name w:val="Table Grid"/>
    <w:basedOn w:val="TableNormal"/>
    <w:uiPriority w:val="39"/>
    <w:rsid w:val="00B7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Klofft</dc:creator>
  <cp:keywords/>
  <dc:description/>
  <cp:lastModifiedBy>South Hero Zoning</cp:lastModifiedBy>
  <cp:revision>2</cp:revision>
  <dcterms:created xsi:type="dcterms:W3CDTF">2022-10-06T13:30:00Z</dcterms:created>
  <dcterms:modified xsi:type="dcterms:W3CDTF">2022-10-06T13:30:00Z</dcterms:modified>
</cp:coreProperties>
</file>