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101A" w14:textId="77777777" w:rsidR="00106C92" w:rsidRDefault="00106C92" w:rsidP="00106C92">
      <w:pPr>
        <w:spacing w:after="0"/>
        <w:jc w:val="center"/>
        <w:rPr>
          <w:b/>
          <w:sz w:val="28"/>
          <w:szCs w:val="28"/>
        </w:rPr>
      </w:pPr>
      <w:r>
        <w:rPr>
          <w:b/>
          <w:sz w:val="28"/>
          <w:szCs w:val="28"/>
        </w:rPr>
        <w:t>TOWN OF SOUTH HERO, VERMONT</w:t>
      </w:r>
    </w:p>
    <w:p w14:paraId="6EB58817" w14:textId="77777777" w:rsidR="00106C92" w:rsidRDefault="00106C92" w:rsidP="00106C92">
      <w:pPr>
        <w:spacing w:after="0"/>
        <w:jc w:val="center"/>
        <w:rPr>
          <w:b/>
          <w:sz w:val="28"/>
          <w:szCs w:val="28"/>
        </w:rPr>
      </w:pPr>
      <w:r>
        <w:rPr>
          <w:b/>
          <w:sz w:val="28"/>
          <w:szCs w:val="28"/>
        </w:rPr>
        <w:t>DEVELOPMENT REVIEW BOARD</w:t>
      </w:r>
    </w:p>
    <w:p w14:paraId="4532C19B" w14:textId="65360F75" w:rsidR="00106C92" w:rsidRDefault="00106C92" w:rsidP="00106C92">
      <w:pPr>
        <w:spacing w:after="0"/>
        <w:jc w:val="center"/>
        <w:rPr>
          <w:b/>
          <w:sz w:val="28"/>
          <w:szCs w:val="28"/>
        </w:rPr>
      </w:pPr>
      <w:r>
        <w:rPr>
          <w:b/>
          <w:sz w:val="28"/>
          <w:szCs w:val="28"/>
        </w:rPr>
        <w:t>DECISION DATED June 8, 2022</w:t>
      </w:r>
    </w:p>
    <w:p w14:paraId="473A3CD6" w14:textId="77777777" w:rsidR="00106C92" w:rsidRDefault="00106C92" w:rsidP="00106C92">
      <w:pPr>
        <w:spacing w:after="0"/>
        <w:jc w:val="center"/>
        <w:rPr>
          <w:b/>
          <w:sz w:val="28"/>
          <w:szCs w:val="28"/>
        </w:rPr>
      </w:pPr>
    </w:p>
    <w:p w14:paraId="203CBC4E" w14:textId="77777777" w:rsidR="00106C92" w:rsidRDefault="00106C92" w:rsidP="00106C92">
      <w:pPr>
        <w:spacing w:after="0"/>
        <w:jc w:val="center"/>
        <w:rPr>
          <w:b/>
          <w:sz w:val="24"/>
          <w:szCs w:val="24"/>
        </w:rPr>
      </w:pPr>
    </w:p>
    <w:p w14:paraId="5510B8A7" w14:textId="77777777" w:rsidR="00106C92" w:rsidRDefault="00106C92" w:rsidP="00106C92">
      <w:pPr>
        <w:spacing w:after="0"/>
        <w:rPr>
          <w:b/>
          <w:sz w:val="24"/>
          <w:szCs w:val="24"/>
          <w:u w:val="single"/>
        </w:rPr>
      </w:pPr>
      <w:r>
        <w:rPr>
          <w:b/>
          <w:sz w:val="24"/>
          <w:szCs w:val="24"/>
          <w:u w:val="single"/>
        </w:rPr>
        <w:t>APPLICANT</w:t>
      </w:r>
    </w:p>
    <w:p w14:paraId="7D88C0F8" w14:textId="77777777" w:rsidR="00106C92" w:rsidRDefault="00106C92" w:rsidP="00106C92">
      <w:pPr>
        <w:spacing w:after="0"/>
        <w:rPr>
          <w:b/>
          <w:sz w:val="24"/>
          <w:szCs w:val="24"/>
        </w:rPr>
      </w:pPr>
      <w:r>
        <w:rPr>
          <w:b/>
          <w:sz w:val="24"/>
          <w:szCs w:val="24"/>
        </w:rPr>
        <w:t>Name:</w:t>
      </w:r>
      <w:r>
        <w:rPr>
          <w:b/>
          <w:sz w:val="24"/>
          <w:szCs w:val="24"/>
        </w:rPr>
        <w:tab/>
      </w:r>
      <w:r>
        <w:rPr>
          <w:b/>
          <w:sz w:val="24"/>
          <w:szCs w:val="24"/>
        </w:rPr>
        <w:tab/>
        <w:t>Dean and Kathy Henry</w:t>
      </w:r>
    </w:p>
    <w:p w14:paraId="025FF64A" w14:textId="77777777" w:rsidR="00106C92" w:rsidRDefault="00106C92" w:rsidP="00106C92">
      <w:pPr>
        <w:spacing w:after="0"/>
        <w:rPr>
          <w:b/>
          <w:sz w:val="24"/>
          <w:szCs w:val="24"/>
        </w:rPr>
      </w:pPr>
      <w:r>
        <w:rPr>
          <w:b/>
          <w:sz w:val="24"/>
          <w:szCs w:val="24"/>
        </w:rPr>
        <w:t>Address:</w:t>
      </w:r>
      <w:r>
        <w:rPr>
          <w:b/>
          <w:sz w:val="24"/>
          <w:szCs w:val="24"/>
        </w:rPr>
        <w:tab/>
        <w:t>129 Ferry Rd. (RT 314)</w:t>
      </w:r>
    </w:p>
    <w:p w14:paraId="367822AA" w14:textId="77777777" w:rsidR="00106C92" w:rsidRDefault="00106C92" w:rsidP="00106C92">
      <w:pPr>
        <w:spacing w:after="0"/>
        <w:rPr>
          <w:b/>
          <w:sz w:val="24"/>
          <w:szCs w:val="24"/>
        </w:rPr>
      </w:pPr>
    </w:p>
    <w:p w14:paraId="39D6ACED" w14:textId="77777777" w:rsidR="00106C92" w:rsidRDefault="00106C92" w:rsidP="00106C92">
      <w:pPr>
        <w:spacing w:after="0"/>
        <w:rPr>
          <w:b/>
          <w:sz w:val="24"/>
          <w:szCs w:val="24"/>
          <w:u w:val="single"/>
        </w:rPr>
      </w:pPr>
      <w:r>
        <w:rPr>
          <w:b/>
          <w:sz w:val="24"/>
          <w:szCs w:val="24"/>
          <w:u w:val="single"/>
        </w:rPr>
        <w:t>LANDOWNER</w:t>
      </w:r>
    </w:p>
    <w:p w14:paraId="7BB4D06B" w14:textId="77777777" w:rsidR="00106C92" w:rsidRDefault="00106C92" w:rsidP="00106C92">
      <w:pPr>
        <w:spacing w:after="0"/>
        <w:ind w:left="1440" w:hanging="1440"/>
        <w:rPr>
          <w:b/>
          <w:sz w:val="24"/>
          <w:szCs w:val="24"/>
        </w:rPr>
      </w:pPr>
      <w:r>
        <w:rPr>
          <w:b/>
          <w:sz w:val="24"/>
          <w:szCs w:val="24"/>
        </w:rPr>
        <w:t>Name:</w:t>
      </w:r>
      <w:r>
        <w:rPr>
          <w:b/>
          <w:sz w:val="24"/>
          <w:szCs w:val="24"/>
        </w:rPr>
        <w:tab/>
        <w:t>same</w:t>
      </w:r>
    </w:p>
    <w:p w14:paraId="62AC8E48" w14:textId="77777777" w:rsidR="00106C92" w:rsidRDefault="00106C92" w:rsidP="00106C92">
      <w:pPr>
        <w:spacing w:after="0"/>
        <w:rPr>
          <w:b/>
          <w:sz w:val="24"/>
          <w:szCs w:val="24"/>
        </w:rPr>
      </w:pPr>
    </w:p>
    <w:p w14:paraId="10DB5246" w14:textId="77777777" w:rsidR="00106C92" w:rsidRDefault="00106C92" w:rsidP="00106C92">
      <w:pPr>
        <w:spacing w:after="0"/>
        <w:rPr>
          <w:b/>
          <w:sz w:val="24"/>
          <w:szCs w:val="24"/>
          <w:u w:val="single"/>
        </w:rPr>
      </w:pPr>
      <w:r>
        <w:rPr>
          <w:b/>
          <w:sz w:val="24"/>
          <w:szCs w:val="24"/>
          <w:u w:val="single"/>
        </w:rPr>
        <w:t>APPLICATION</w:t>
      </w:r>
    </w:p>
    <w:p w14:paraId="48F01368" w14:textId="2FB2D6DC" w:rsidR="00106C92" w:rsidRDefault="00106C92" w:rsidP="00106C92">
      <w:pPr>
        <w:spacing w:after="0"/>
        <w:ind w:left="1440" w:hanging="1440"/>
        <w:rPr>
          <w:b/>
          <w:sz w:val="24"/>
          <w:szCs w:val="24"/>
        </w:rPr>
      </w:pPr>
      <w:r>
        <w:rPr>
          <w:b/>
          <w:sz w:val="24"/>
          <w:szCs w:val="24"/>
        </w:rPr>
        <w:t>Type:</w:t>
      </w:r>
      <w:r>
        <w:rPr>
          <w:b/>
          <w:sz w:val="24"/>
          <w:szCs w:val="24"/>
        </w:rPr>
        <w:tab/>
        <w:t>Subdivision Amendment</w:t>
      </w:r>
    </w:p>
    <w:p w14:paraId="3D255DAA" w14:textId="77777777" w:rsidR="00106C92" w:rsidRDefault="00106C92" w:rsidP="00106C92">
      <w:pPr>
        <w:spacing w:after="0"/>
        <w:ind w:left="1440" w:hanging="1440"/>
        <w:rPr>
          <w:b/>
          <w:sz w:val="24"/>
          <w:szCs w:val="24"/>
        </w:rPr>
      </w:pPr>
    </w:p>
    <w:p w14:paraId="5D871747" w14:textId="3F0AC7AF" w:rsidR="00106C92" w:rsidRDefault="00106C92" w:rsidP="00106C92">
      <w:pPr>
        <w:spacing w:after="0"/>
        <w:rPr>
          <w:b/>
          <w:sz w:val="24"/>
          <w:szCs w:val="24"/>
        </w:rPr>
      </w:pPr>
      <w:r>
        <w:rPr>
          <w:b/>
          <w:sz w:val="24"/>
          <w:szCs w:val="24"/>
        </w:rPr>
        <w:t>Number:</w:t>
      </w:r>
      <w:r>
        <w:rPr>
          <w:b/>
          <w:sz w:val="24"/>
          <w:szCs w:val="24"/>
        </w:rPr>
        <w:tab/>
        <w:t>2</w:t>
      </w:r>
      <w:r w:rsidR="004E27B8">
        <w:rPr>
          <w:b/>
          <w:sz w:val="24"/>
          <w:szCs w:val="24"/>
        </w:rPr>
        <w:t>2</w:t>
      </w:r>
      <w:r>
        <w:rPr>
          <w:b/>
          <w:sz w:val="24"/>
          <w:szCs w:val="24"/>
        </w:rPr>
        <w:t>-</w:t>
      </w:r>
      <w:r w:rsidR="004E27B8">
        <w:rPr>
          <w:b/>
          <w:sz w:val="24"/>
          <w:szCs w:val="24"/>
        </w:rPr>
        <w:t>7</w:t>
      </w:r>
      <w:r>
        <w:rPr>
          <w:b/>
          <w:sz w:val="24"/>
          <w:szCs w:val="24"/>
        </w:rPr>
        <w:t>5-FR129</w:t>
      </w:r>
    </w:p>
    <w:p w14:paraId="2294D470" w14:textId="77777777" w:rsidR="00106C92" w:rsidRDefault="00106C92" w:rsidP="00106C92">
      <w:pPr>
        <w:spacing w:after="0"/>
        <w:rPr>
          <w:b/>
          <w:sz w:val="24"/>
          <w:szCs w:val="24"/>
        </w:rPr>
      </w:pPr>
    </w:p>
    <w:p w14:paraId="42A697C4" w14:textId="77777777" w:rsidR="00106C92" w:rsidRDefault="00106C92" w:rsidP="00106C92">
      <w:pPr>
        <w:spacing w:after="0"/>
        <w:rPr>
          <w:b/>
          <w:sz w:val="24"/>
          <w:szCs w:val="24"/>
          <w:u w:val="single"/>
        </w:rPr>
      </w:pPr>
      <w:r>
        <w:rPr>
          <w:b/>
          <w:sz w:val="24"/>
          <w:szCs w:val="24"/>
          <w:u w:val="single"/>
        </w:rPr>
        <w:t>PROPERTY</w:t>
      </w:r>
    </w:p>
    <w:p w14:paraId="0C191432" w14:textId="77777777" w:rsidR="00106C92" w:rsidRDefault="00106C92" w:rsidP="00106C92">
      <w:pPr>
        <w:spacing w:after="0"/>
        <w:rPr>
          <w:b/>
          <w:sz w:val="24"/>
          <w:szCs w:val="24"/>
        </w:rPr>
      </w:pPr>
      <w:r>
        <w:rPr>
          <w:b/>
          <w:sz w:val="24"/>
          <w:szCs w:val="24"/>
        </w:rPr>
        <w:t>Location:</w:t>
      </w:r>
      <w:r>
        <w:rPr>
          <w:b/>
          <w:sz w:val="24"/>
          <w:szCs w:val="24"/>
        </w:rPr>
        <w:tab/>
        <w:t>129 Ferry Rd.</w:t>
      </w:r>
    </w:p>
    <w:p w14:paraId="39287B69" w14:textId="77777777" w:rsidR="00106C92" w:rsidRDefault="00106C92" w:rsidP="00106C92">
      <w:pPr>
        <w:spacing w:after="0"/>
        <w:rPr>
          <w:b/>
          <w:sz w:val="24"/>
          <w:szCs w:val="24"/>
        </w:rPr>
      </w:pPr>
    </w:p>
    <w:p w14:paraId="61133C4A" w14:textId="77777777" w:rsidR="00106C92" w:rsidRDefault="00106C92" w:rsidP="00106C92">
      <w:pPr>
        <w:spacing w:after="0"/>
        <w:rPr>
          <w:b/>
          <w:sz w:val="24"/>
          <w:szCs w:val="24"/>
        </w:rPr>
      </w:pPr>
    </w:p>
    <w:p w14:paraId="39FCD839" w14:textId="749D964D" w:rsidR="00106C92" w:rsidRDefault="00106C92" w:rsidP="00106C92">
      <w:pPr>
        <w:spacing w:after="0"/>
        <w:rPr>
          <w:b/>
          <w:sz w:val="24"/>
          <w:szCs w:val="24"/>
        </w:rPr>
      </w:pPr>
      <w:r>
        <w:rPr>
          <w:b/>
          <w:sz w:val="24"/>
          <w:szCs w:val="24"/>
          <w:u w:val="single"/>
        </w:rPr>
        <w:t>Hearing Date</w:t>
      </w:r>
      <w:r>
        <w:rPr>
          <w:b/>
          <w:sz w:val="24"/>
          <w:szCs w:val="24"/>
        </w:rPr>
        <w:t xml:space="preserve">:  </w:t>
      </w:r>
      <w:r w:rsidR="004E27B8">
        <w:rPr>
          <w:b/>
          <w:sz w:val="24"/>
          <w:szCs w:val="24"/>
        </w:rPr>
        <w:t>June 8, 2022</w:t>
      </w:r>
    </w:p>
    <w:p w14:paraId="33FFC76B" w14:textId="77777777" w:rsidR="00106C92" w:rsidRDefault="00106C92" w:rsidP="00106C92">
      <w:pPr>
        <w:spacing w:after="0"/>
        <w:rPr>
          <w:b/>
          <w:sz w:val="24"/>
          <w:szCs w:val="24"/>
        </w:rPr>
      </w:pPr>
    </w:p>
    <w:p w14:paraId="76921D00" w14:textId="77777777" w:rsidR="00106C92" w:rsidRDefault="00106C92" w:rsidP="00106C92">
      <w:pPr>
        <w:spacing w:after="0"/>
        <w:rPr>
          <w:b/>
          <w:sz w:val="24"/>
          <w:szCs w:val="24"/>
        </w:rPr>
      </w:pPr>
    </w:p>
    <w:p w14:paraId="5E6F6DA1" w14:textId="0A92F522" w:rsidR="00106C92" w:rsidRDefault="00106C92" w:rsidP="00106C92">
      <w:pPr>
        <w:spacing w:after="0"/>
        <w:rPr>
          <w:sz w:val="24"/>
          <w:szCs w:val="24"/>
        </w:rPr>
      </w:pPr>
      <w:r>
        <w:rPr>
          <w:sz w:val="24"/>
          <w:szCs w:val="24"/>
        </w:rPr>
        <w:t xml:space="preserve">Dean and Kathy Henry submitted an application on </w:t>
      </w:r>
      <w:r w:rsidR="004E27B8">
        <w:rPr>
          <w:sz w:val="24"/>
          <w:szCs w:val="24"/>
        </w:rPr>
        <w:t xml:space="preserve">May 10, </w:t>
      </w:r>
      <w:proofErr w:type="gramStart"/>
      <w:r w:rsidR="004E27B8">
        <w:rPr>
          <w:sz w:val="24"/>
          <w:szCs w:val="24"/>
        </w:rPr>
        <w:t>2022</w:t>
      </w:r>
      <w:proofErr w:type="gramEnd"/>
      <w:r>
        <w:rPr>
          <w:sz w:val="24"/>
          <w:szCs w:val="24"/>
        </w:rPr>
        <w:t xml:space="preserve"> </w:t>
      </w:r>
      <w:r w:rsidR="004E27B8">
        <w:rPr>
          <w:sz w:val="24"/>
          <w:szCs w:val="24"/>
        </w:rPr>
        <w:t xml:space="preserve">for an amended subdivision plat that had been originally approved </w:t>
      </w:r>
      <w:r w:rsidR="005C7116">
        <w:rPr>
          <w:sz w:val="24"/>
          <w:szCs w:val="24"/>
        </w:rPr>
        <w:t xml:space="preserve">by the DRB </w:t>
      </w:r>
      <w:r w:rsidR="004E27B8">
        <w:rPr>
          <w:sz w:val="24"/>
          <w:szCs w:val="24"/>
        </w:rPr>
        <w:t>on Mar</w:t>
      </w:r>
      <w:r w:rsidR="005C7116">
        <w:rPr>
          <w:sz w:val="24"/>
          <w:szCs w:val="24"/>
        </w:rPr>
        <w:t>c</w:t>
      </w:r>
      <w:r w:rsidR="004E27B8">
        <w:rPr>
          <w:sz w:val="24"/>
          <w:szCs w:val="24"/>
        </w:rPr>
        <w:t>h</w:t>
      </w:r>
      <w:r w:rsidR="005C7116">
        <w:rPr>
          <w:sz w:val="24"/>
          <w:szCs w:val="24"/>
        </w:rPr>
        <w:t xml:space="preserve"> 9,</w:t>
      </w:r>
      <w:r w:rsidR="004E27B8">
        <w:rPr>
          <w:sz w:val="24"/>
          <w:szCs w:val="24"/>
        </w:rPr>
        <w:t xml:space="preserve"> 2022</w:t>
      </w:r>
      <w:r w:rsidR="0076032A">
        <w:rPr>
          <w:sz w:val="24"/>
          <w:szCs w:val="24"/>
        </w:rPr>
        <w:t xml:space="preserve"> (#21-95-FR129)</w:t>
      </w:r>
      <w:r w:rsidR="005C7116">
        <w:rPr>
          <w:sz w:val="24"/>
          <w:szCs w:val="24"/>
        </w:rPr>
        <w:t>.  VTrans changed the location of one</w:t>
      </w:r>
      <w:r w:rsidR="008A30B9">
        <w:rPr>
          <w:sz w:val="24"/>
          <w:szCs w:val="24"/>
        </w:rPr>
        <w:t xml:space="preserve"> of the accesses to RT 314, necessitating an amendment, per </w:t>
      </w:r>
      <w:r w:rsidR="0013320A">
        <w:rPr>
          <w:sz w:val="24"/>
          <w:szCs w:val="24"/>
        </w:rPr>
        <w:t>Sec. 407.</w:t>
      </w:r>
      <w:r>
        <w:rPr>
          <w:sz w:val="24"/>
          <w:szCs w:val="24"/>
        </w:rPr>
        <w:t xml:space="preserve">  Per Article 8 of the South Hero Development Regulations, a warning for the </w:t>
      </w:r>
      <w:r w:rsidR="0013320A">
        <w:rPr>
          <w:sz w:val="24"/>
          <w:szCs w:val="24"/>
        </w:rPr>
        <w:t>Subdivision Amendment</w:t>
      </w:r>
      <w:r>
        <w:rPr>
          <w:sz w:val="24"/>
          <w:szCs w:val="24"/>
        </w:rPr>
        <w:t xml:space="preserve"> appeared in the </w:t>
      </w:r>
      <w:r w:rsidR="0013320A">
        <w:rPr>
          <w:sz w:val="24"/>
          <w:szCs w:val="24"/>
        </w:rPr>
        <w:t xml:space="preserve">May 18, </w:t>
      </w:r>
      <w:proofErr w:type="gramStart"/>
      <w:r w:rsidR="0013320A">
        <w:rPr>
          <w:sz w:val="24"/>
          <w:szCs w:val="24"/>
        </w:rPr>
        <w:t>2022</w:t>
      </w:r>
      <w:proofErr w:type="gramEnd"/>
      <w:r>
        <w:rPr>
          <w:sz w:val="24"/>
          <w:szCs w:val="24"/>
        </w:rPr>
        <w:t xml:space="preserve"> issue of the Islander</w:t>
      </w:r>
      <w:r w:rsidR="009E095F">
        <w:rPr>
          <w:sz w:val="24"/>
          <w:szCs w:val="24"/>
        </w:rPr>
        <w:t xml:space="preserve"> and was</w:t>
      </w:r>
      <w:r>
        <w:rPr>
          <w:sz w:val="24"/>
          <w:szCs w:val="24"/>
        </w:rPr>
        <w:t xml:space="preserve"> posted in the Town Office, the Post Office, and the Worthen Library, and abutters to the property were notified.  The hearing was held on Ju</w:t>
      </w:r>
      <w:r w:rsidR="009E095F">
        <w:rPr>
          <w:sz w:val="24"/>
          <w:szCs w:val="24"/>
        </w:rPr>
        <w:t xml:space="preserve">ne 8, 2022.  </w:t>
      </w:r>
      <w:r>
        <w:rPr>
          <w:sz w:val="24"/>
          <w:szCs w:val="24"/>
        </w:rPr>
        <w:t xml:space="preserve">Applicant Dean Henry </w:t>
      </w:r>
      <w:r w:rsidR="009E095F">
        <w:rPr>
          <w:sz w:val="24"/>
          <w:szCs w:val="24"/>
        </w:rPr>
        <w:t>p</w:t>
      </w:r>
      <w:r>
        <w:rPr>
          <w:sz w:val="24"/>
          <w:szCs w:val="24"/>
        </w:rPr>
        <w:t>resented</w:t>
      </w:r>
      <w:r w:rsidR="009E095F">
        <w:rPr>
          <w:sz w:val="24"/>
          <w:szCs w:val="24"/>
        </w:rPr>
        <w:t>.</w:t>
      </w:r>
      <w:r>
        <w:rPr>
          <w:sz w:val="24"/>
          <w:szCs w:val="24"/>
        </w:rPr>
        <w:t xml:space="preserve">  A list of those present and participating in the hearings is included in the minutes of each meeting.  </w:t>
      </w:r>
    </w:p>
    <w:p w14:paraId="73CD913A" w14:textId="77777777" w:rsidR="00106C92" w:rsidRDefault="00106C92" w:rsidP="00106C92">
      <w:pPr>
        <w:spacing w:after="0"/>
        <w:rPr>
          <w:sz w:val="24"/>
          <w:szCs w:val="24"/>
        </w:rPr>
      </w:pPr>
    </w:p>
    <w:p w14:paraId="304952CF" w14:textId="77777777" w:rsidR="00106C92" w:rsidRDefault="00106C92" w:rsidP="00106C92">
      <w:pPr>
        <w:spacing w:after="0"/>
        <w:rPr>
          <w:sz w:val="24"/>
          <w:szCs w:val="24"/>
        </w:rPr>
      </w:pPr>
    </w:p>
    <w:p w14:paraId="07FAA90B" w14:textId="77777777" w:rsidR="00106C92" w:rsidRDefault="00106C92" w:rsidP="00106C92">
      <w:pPr>
        <w:spacing w:after="0"/>
        <w:rPr>
          <w:sz w:val="24"/>
          <w:szCs w:val="24"/>
        </w:rPr>
      </w:pPr>
    </w:p>
    <w:p w14:paraId="3633B64E" w14:textId="77777777" w:rsidR="00106C92" w:rsidRDefault="00106C92" w:rsidP="00106C92">
      <w:pPr>
        <w:spacing w:after="0"/>
        <w:rPr>
          <w:b/>
          <w:sz w:val="24"/>
          <w:szCs w:val="24"/>
        </w:rPr>
      </w:pPr>
      <w:proofErr w:type="gramStart"/>
      <w:r>
        <w:rPr>
          <w:b/>
          <w:sz w:val="24"/>
          <w:szCs w:val="24"/>
        </w:rPr>
        <w:t>During the course of</w:t>
      </w:r>
      <w:proofErr w:type="gramEnd"/>
      <w:r>
        <w:rPr>
          <w:b/>
          <w:sz w:val="24"/>
          <w:szCs w:val="24"/>
        </w:rPr>
        <w:t xml:space="preserve"> the hearing, the following exhibits were submitted:</w:t>
      </w:r>
    </w:p>
    <w:p w14:paraId="78E5A7B9" w14:textId="77777777" w:rsidR="00106C92" w:rsidRDefault="00106C92" w:rsidP="00106C92">
      <w:pPr>
        <w:spacing w:after="0"/>
        <w:rPr>
          <w:b/>
          <w:sz w:val="24"/>
          <w:szCs w:val="24"/>
        </w:rPr>
      </w:pPr>
    </w:p>
    <w:p w14:paraId="1D6058CC" w14:textId="77777777" w:rsidR="00106C92" w:rsidRDefault="00106C92" w:rsidP="00106C92">
      <w:pPr>
        <w:pStyle w:val="ListParagraph"/>
        <w:numPr>
          <w:ilvl w:val="0"/>
          <w:numId w:val="1"/>
        </w:numPr>
        <w:spacing w:after="0"/>
        <w:rPr>
          <w:sz w:val="24"/>
          <w:szCs w:val="24"/>
        </w:rPr>
      </w:pPr>
      <w:r>
        <w:rPr>
          <w:sz w:val="24"/>
          <w:szCs w:val="24"/>
        </w:rPr>
        <w:t>Town of South Hero Development Regulations, effective March 3, 2013.</w:t>
      </w:r>
    </w:p>
    <w:p w14:paraId="143B55DD" w14:textId="56F7F7E2" w:rsidR="00106C92" w:rsidRDefault="00106C92" w:rsidP="00106C92">
      <w:pPr>
        <w:pStyle w:val="ListParagraph"/>
        <w:numPr>
          <w:ilvl w:val="0"/>
          <w:numId w:val="1"/>
        </w:numPr>
        <w:spacing w:after="0"/>
        <w:rPr>
          <w:sz w:val="24"/>
          <w:szCs w:val="24"/>
        </w:rPr>
      </w:pPr>
      <w:proofErr w:type="gramStart"/>
      <w:r>
        <w:rPr>
          <w:sz w:val="24"/>
          <w:szCs w:val="24"/>
        </w:rPr>
        <w:t xml:space="preserve">Application for Subdivision </w:t>
      </w:r>
      <w:r w:rsidR="00750867">
        <w:rPr>
          <w:sz w:val="24"/>
          <w:szCs w:val="24"/>
        </w:rPr>
        <w:t>Amendment</w:t>
      </w:r>
      <w:r>
        <w:rPr>
          <w:sz w:val="24"/>
          <w:szCs w:val="24"/>
        </w:rPr>
        <w:t xml:space="preserve"> review,</w:t>
      </w:r>
      <w:proofErr w:type="gramEnd"/>
      <w:r>
        <w:rPr>
          <w:sz w:val="24"/>
          <w:szCs w:val="24"/>
        </w:rPr>
        <w:t xml:space="preserve"> dated </w:t>
      </w:r>
      <w:r w:rsidR="00750867">
        <w:rPr>
          <w:sz w:val="24"/>
          <w:szCs w:val="24"/>
        </w:rPr>
        <w:t>and rec’d May 10, 2022</w:t>
      </w:r>
      <w:r w:rsidR="002777BA">
        <w:rPr>
          <w:sz w:val="24"/>
          <w:szCs w:val="24"/>
        </w:rPr>
        <w:t>.</w:t>
      </w:r>
    </w:p>
    <w:p w14:paraId="01ED7B09" w14:textId="59261EC8" w:rsidR="007A7500" w:rsidRDefault="007A7500" w:rsidP="00106C92">
      <w:pPr>
        <w:pStyle w:val="ListParagraph"/>
        <w:numPr>
          <w:ilvl w:val="0"/>
          <w:numId w:val="1"/>
        </w:numPr>
        <w:spacing w:after="0"/>
        <w:rPr>
          <w:sz w:val="24"/>
          <w:szCs w:val="24"/>
        </w:rPr>
      </w:pPr>
      <w:r>
        <w:rPr>
          <w:sz w:val="24"/>
          <w:szCs w:val="24"/>
        </w:rPr>
        <w:t>Subdivision Plat by TDH Surveying and Design, revision date May 12, 2022; rec’d May 18, 2022.</w:t>
      </w:r>
    </w:p>
    <w:p w14:paraId="2A52E19F" w14:textId="0F155CA8" w:rsidR="00106C92" w:rsidRDefault="00106C92" w:rsidP="00106C92">
      <w:pPr>
        <w:pStyle w:val="ListParagraph"/>
        <w:numPr>
          <w:ilvl w:val="0"/>
          <w:numId w:val="1"/>
        </w:numPr>
        <w:spacing w:after="0"/>
        <w:rPr>
          <w:sz w:val="24"/>
          <w:szCs w:val="24"/>
        </w:rPr>
      </w:pPr>
      <w:r>
        <w:rPr>
          <w:sz w:val="24"/>
          <w:szCs w:val="24"/>
        </w:rPr>
        <w:lastRenderedPageBreak/>
        <w:t xml:space="preserve">Final Plat by TDH Surveying and Design, no revision date, Sheet 1 of 1, rec’d February 20, 2022, accepted into the record at the February 23, </w:t>
      </w:r>
      <w:proofErr w:type="gramStart"/>
      <w:r>
        <w:rPr>
          <w:sz w:val="24"/>
          <w:szCs w:val="24"/>
        </w:rPr>
        <w:t>2022</w:t>
      </w:r>
      <w:proofErr w:type="gramEnd"/>
      <w:r>
        <w:rPr>
          <w:sz w:val="24"/>
          <w:szCs w:val="24"/>
        </w:rPr>
        <w:t xml:space="preserve"> hearing.</w:t>
      </w:r>
    </w:p>
    <w:p w14:paraId="419061F0" w14:textId="3F2539F4" w:rsidR="000B41F6" w:rsidRDefault="000B41F6" w:rsidP="00106C92">
      <w:pPr>
        <w:pStyle w:val="ListParagraph"/>
        <w:numPr>
          <w:ilvl w:val="0"/>
          <w:numId w:val="1"/>
        </w:numPr>
        <w:spacing w:after="0"/>
        <w:rPr>
          <w:sz w:val="24"/>
          <w:szCs w:val="24"/>
        </w:rPr>
      </w:pPr>
      <w:r>
        <w:rPr>
          <w:sz w:val="24"/>
          <w:szCs w:val="24"/>
        </w:rPr>
        <w:t>Final Plat</w:t>
      </w:r>
      <w:r w:rsidR="000100A3">
        <w:rPr>
          <w:sz w:val="24"/>
          <w:szCs w:val="24"/>
        </w:rPr>
        <w:t xml:space="preserve"> by TDH Survey and Design, revision date January 13, 2022, approved by the South Hero DRB on March 9, 2022.</w:t>
      </w:r>
    </w:p>
    <w:p w14:paraId="122D0F00" w14:textId="5944F728" w:rsidR="0071379A" w:rsidRDefault="0071379A" w:rsidP="00106C92">
      <w:pPr>
        <w:pStyle w:val="ListParagraph"/>
        <w:numPr>
          <w:ilvl w:val="0"/>
          <w:numId w:val="1"/>
        </w:numPr>
        <w:spacing w:after="0"/>
        <w:rPr>
          <w:sz w:val="24"/>
          <w:szCs w:val="24"/>
        </w:rPr>
      </w:pPr>
      <w:r>
        <w:rPr>
          <w:sz w:val="24"/>
          <w:szCs w:val="24"/>
        </w:rPr>
        <w:t>Henry DRB approval</w:t>
      </w:r>
      <w:r w:rsidR="0076032A">
        <w:rPr>
          <w:sz w:val="24"/>
          <w:szCs w:val="24"/>
        </w:rPr>
        <w:t xml:space="preserve"> #21-95-FR129</w:t>
      </w:r>
      <w:r>
        <w:rPr>
          <w:sz w:val="24"/>
          <w:szCs w:val="24"/>
        </w:rPr>
        <w:t>, dated March 9, 2022.</w:t>
      </w:r>
    </w:p>
    <w:p w14:paraId="5A66249A" w14:textId="1A573352" w:rsidR="000B41F6" w:rsidRDefault="000B41F6" w:rsidP="00106C92">
      <w:pPr>
        <w:pStyle w:val="ListParagraph"/>
        <w:numPr>
          <w:ilvl w:val="0"/>
          <w:numId w:val="1"/>
        </w:numPr>
        <w:spacing w:after="0"/>
        <w:rPr>
          <w:sz w:val="24"/>
          <w:szCs w:val="24"/>
        </w:rPr>
      </w:pPr>
      <w:r>
        <w:rPr>
          <w:sz w:val="24"/>
          <w:szCs w:val="24"/>
        </w:rPr>
        <w:t>VTrans 1111 Access Permit #44680, dated May 23, 2022.</w:t>
      </w:r>
    </w:p>
    <w:p w14:paraId="1E589726" w14:textId="3E597262" w:rsidR="00F049C4" w:rsidRDefault="00F049C4" w:rsidP="00106C92">
      <w:pPr>
        <w:pStyle w:val="ListParagraph"/>
        <w:numPr>
          <w:ilvl w:val="0"/>
          <w:numId w:val="1"/>
        </w:numPr>
        <w:spacing w:after="0"/>
        <w:rPr>
          <w:sz w:val="24"/>
          <w:szCs w:val="24"/>
        </w:rPr>
      </w:pPr>
      <w:r>
        <w:rPr>
          <w:sz w:val="24"/>
          <w:szCs w:val="24"/>
        </w:rPr>
        <w:t>Email from Ed Pierce, VTrans permit coordinator, dated and rec’d May 24, 2022.</w:t>
      </w:r>
    </w:p>
    <w:p w14:paraId="3C6D169E" w14:textId="2AC26A67" w:rsidR="000B41F6" w:rsidRDefault="000B41F6" w:rsidP="00106C92">
      <w:pPr>
        <w:pStyle w:val="ListParagraph"/>
        <w:numPr>
          <w:ilvl w:val="0"/>
          <w:numId w:val="1"/>
        </w:numPr>
        <w:spacing w:after="0"/>
        <w:rPr>
          <w:sz w:val="24"/>
          <w:szCs w:val="24"/>
        </w:rPr>
      </w:pPr>
      <w:r>
        <w:rPr>
          <w:sz w:val="24"/>
          <w:szCs w:val="24"/>
        </w:rPr>
        <w:t xml:space="preserve">Warning ad, Abutters Notice, and Hearing Letter for June 8, </w:t>
      </w:r>
      <w:proofErr w:type="gramStart"/>
      <w:r>
        <w:rPr>
          <w:sz w:val="24"/>
          <w:szCs w:val="24"/>
        </w:rPr>
        <w:t>2022</w:t>
      </w:r>
      <w:proofErr w:type="gramEnd"/>
      <w:r>
        <w:rPr>
          <w:sz w:val="24"/>
          <w:szCs w:val="24"/>
        </w:rPr>
        <w:t xml:space="preserve"> hearing</w:t>
      </w:r>
      <w:r w:rsidR="00F049C4">
        <w:rPr>
          <w:sz w:val="24"/>
          <w:szCs w:val="24"/>
        </w:rPr>
        <w:t xml:space="preserve"> published in the May 18, 2022 issue of the Islander.</w:t>
      </w:r>
    </w:p>
    <w:p w14:paraId="2F12F8A2" w14:textId="77777777" w:rsidR="00106C92" w:rsidRDefault="00106C92" w:rsidP="00106C92">
      <w:pPr>
        <w:pStyle w:val="ListParagraph"/>
        <w:spacing w:after="0"/>
        <w:rPr>
          <w:sz w:val="24"/>
          <w:szCs w:val="24"/>
        </w:rPr>
      </w:pPr>
    </w:p>
    <w:p w14:paraId="05D92D3B" w14:textId="77777777" w:rsidR="00106C92" w:rsidRDefault="00106C92" w:rsidP="00106C92">
      <w:pPr>
        <w:pStyle w:val="ListParagraph"/>
        <w:spacing w:after="0"/>
      </w:pPr>
    </w:p>
    <w:p w14:paraId="2C02F2F3" w14:textId="77777777" w:rsidR="0076032A" w:rsidRDefault="0076032A" w:rsidP="00106C92">
      <w:pPr>
        <w:spacing w:after="0"/>
        <w:rPr>
          <w:sz w:val="24"/>
          <w:szCs w:val="24"/>
        </w:rPr>
      </w:pPr>
    </w:p>
    <w:p w14:paraId="77A8E3C2" w14:textId="42D2CCAD" w:rsidR="00106C92" w:rsidRDefault="00106C92" w:rsidP="00106C92">
      <w:pPr>
        <w:spacing w:after="0"/>
        <w:rPr>
          <w:b/>
          <w:sz w:val="24"/>
          <w:szCs w:val="24"/>
        </w:rPr>
      </w:pPr>
      <w:r>
        <w:rPr>
          <w:sz w:val="24"/>
          <w:szCs w:val="24"/>
        </w:rPr>
        <w:t xml:space="preserve">Based on the applications, supporting documents, and testimony of Dean Henry, </w:t>
      </w:r>
      <w:r>
        <w:rPr>
          <w:b/>
          <w:sz w:val="24"/>
          <w:szCs w:val="24"/>
        </w:rPr>
        <w:t>the Development Review Board makes the following Findings and enters the following decision:</w:t>
      </w:r>
    </w:p>
    <w:p w14:paraId="25367394" w14:textId="77777777" w:rsidR="00106C92" w:rsidRDefault="00106C92" w:rsidP="00106C92">
      <w:pPr>
        <w:spacing w:after="0"/>
        <w:rPr>
          <w:b/>
          <w:sz w:val="24"/>
          <w:szCs w:val="24"/>
        </w:rPr>
      </w:pPr>
    </w:p>
    <w:p w14:paraId="6233650B" w14:textId="77777777" w:rsidR="00560D45" w:rsidRDefault="00106C92" w:rsidP="00560D45">
      <w:pPr>
        <w:pStyle w:val="ListParagraph"/>
        <w:numPr>
          <w:ilvl w:val="0"/>
          <w:numId w:val="2"/>
        </w:numPr>
        <w:spacing w:after="0"/>
        <w:rPr>
          <w:sz w:val="24"/>
          <w:szCs w:val="24"/>
        </w:rPr>
      </w:pPr>
      <w:r>
        <w:rPr>
          <w:sz w:val="24"/>
          <w:szCs w:val="24"/>
        </w:rPr>
        <w:t xml:space="preserve">The </w:t>
      </w:r>
      <w:r w:rsidR="006700DB">
        <w:rPr>
          <w:sz w:val="24"/>
          <w:szCs w:val="24"/>
        </w:rPr>
        <w:t xml:space="preserve">9-lot Major </w:t>
      </w:r>
      <w:r>
        <w:rPr>
          <w:sz w:val="24"/>
          <w:szCs w:val="24"/>
        </w:rPr>
        <w:t xml:space="preserve">subdivision was </w:t>
      </w:r>
      <w:r w:rsidR="006700DB">
        <w:rPr>
          <w:sz w:val="24"/>
          <w:szCs w:val="24"/>
        </w:rPr>
        <w:t>approved by the DRB on March 9, 2022.</w:t>
      </w:r>
      <w:r>
        <w:rPr>
          <w:sz w:val="24"/>
          <w:szCs w:val="24"/>
        </w:rPr>
        <w:t xml:space="preserve"> </w:t>
      </w:r>
    </w:p>
    <w:p w14:paraId="5CFA16BE" w14:textId="575E92D2" w:rsidR="00106C92" w:rsidRPr="00560D45" w:rsidRDefault="00F049C4" w:rsidP="00560D45">
      <w:pPr>
        <w:pStyle w:val="ListParagraph"/>
        <w:numPr>
          <w:ilvl w:val="0"/>
          <w:numId w:val="2"/>
        </w:numPr>
        <w:spacing w:after="0"/>
        <w:rPr>
          <w:sz w:val="24"/>
          <w:szCs w:val="24"/>
        </w:rPr>
      </w:pPr>
      <w:r w:rsidRPr="00560D45">
        <w:rPr>
          <w:sz w:val="24"/>
          <w:szCs w:val="24"/>
        </w:rPr>
        <w:t xml:space="preserve">Ed Pierce, VTrans permit coordinator, stated in a May 24, </w:t>
      </w:r>
      <w:proofErr w:type="gramStart"/>
      <w:r w:rsidRPr="00560D45">
        <w:rPr>
          <w:sz w:val="24"/>
          <w:szCs w:val="24"/>
        </w:rPr>
        <w:t>2022</w:t>
      </w:r>
      <w:proofErr w:type="gramEnd"/>
      <w:r w:rsidRPr="00560D45">
        <w:rPr>
          <w:sz w:val="24"/>
          <w:szCs w:val="24"/>
        </w:rPr>
        <w:t xml:space="preserve"> email that VTrans no longer requires a Letter of Intent before issuing an 1111 access permit</w:t>
      </w:r>
      <w:r w:rsidR="0027209F" w:rsidRPr="00560D45">
        <w:rPr>
          <w:sz w:val="24"/>
          <w:szCs w:val="24"/>
        </w:rPr>
        <w:t xml:space="preserve">.  Review and approval of site plans and subdivisions on State highways still require VTrans review. </w:t>
      </w:r>
    </w:p>
    <w:p w14:paraId="01477030" w14:textId="0BB9B6C9" w:rsidR="00106C92" w:rsidRDefault="0027209F" w:rsidP="00106C92">
      <w:pPr>
        <w:pStyle w:val="ListParagraph"/>
        <w:numPr>
          <w:ilvl w:val="0"/>
          <w:numId w:val="2"/>
        </w:numPr>
        <w:spacing w:after="0"/>
        <w:rPr>
          <w:sz w:val="24"/>
          <w:szCs w:val="24"/>
        </w:rPr>
      </w:pPr>
      <w:r>
        <w:rPr>
          <w:sz w:val="24"/>
          <w:szCs w:val="24"/>
        </w:rPr>
        <w:t xml:space="preserve">VTrans had indicated approval of the 2 highway accesses proposed in the final subdivision plan.   After the plan was approved by the DRB, VTrans required that the access serving Lots 1-6 be moved further west approx. 40 feet to be directly across RT 314 from </w:t>
      </w:r>
      <w:r w:rsidR="00D43111">
        <w:rPr>
          <w:sz w:val="24"/>
          <w:szCs w:val="24"/>
        </w:rPr>
        <w:t>the access to 138 Ferry Rd. (VT RT 314).</w:t>
      </w:r>
    </w:p>
    <w:p w14:paraId="7892461B" w14:textId="77777777" w:rsidR="00FC0B77" w:rsidRDefault="00D43111" w:rsidP="00106C92">
      <w:pPr>
        <w:pStyle w:val="ListParagraph"/>
        <w:numPr>
          <w:ilvl w:val="0"/>
          <w:numId w:val="2"/>
        </w:numPr>
        <w:spacing w:after="0"/>
        <w:rPr>
          <w:sz w:val="24"/>
          <w:szCs w:val="24"/>
        </w:rPr>
      </w:pPr>
      <w:r>
        <w:rPr>
          <w:sz w:val="24"/>
          <w:szCs w:val="24"/>
        </w:rPr>
        <w:t>The 50ft. wide right-of-way now fully encompasses the existing driveway to 129 Ferry Rd.  In the March 2022 decision, the driveway was going to b</w:t>
      </w:r>
      <w:r w:rsidR="00FC0B77">
        <w:rPr>
          <w:sz w:val="24"/>
          <w:szCs w:val="24"/>
        </w:rPr>
        <w:t>e eliminated and merged into the new ROW.</w:t>
      </w:r>
    </w:p>
    <w:p w14:paraId="2CA789E6" w14:textId="3823F471" w:rsidR="00106C92" w:rsidRDefault="00D43111" w:rsidP="00106C92">
      <w:pPr>
        <w:pStyle w:val="ListParagraph"/>
        <w:numPr>
          <w:ilvl w:val="0"/>
          <w:numId w:val="2"/>
        </w:numPr>
        <w:spacing w:after="0"/>
        <w:rPr>
          <w:sz w:val="24"/>
          <w:szCs w:val="24"/>
        </w:rPr>
      </w:pPr>
      <w:r>
        <w:rPr>
          <w:sz w:val="24"/>
          <w:szCs w:val="24"/>
        </w:rPr>
        <w:t>The edge of the ROW meets the setback requirement for an accessory structure in the Rural Residential Zoning District.</w:t>
      </w:r>
      <w:r w:rsidR="00FC0B77">
        <w:rPr>
          <w:sz w:val="24"/>
          <w:szCs w:val="24"/>
        </w:rPr>
        <w:t xml:space="preserve"> The new Plat shows the 25-ft. building envelope for a primary structure and the 15-ft. building envelope for an accessory structure.</w:t>
      </w:r>
    </w:p>
    <w:p w14:paraId="56655583" w14:textId="12EE710E" w:rsidR="00FC0B77" w:rsidRDefault="00FC0B77" w:rsidP="00106C92">
      <w:pPr>
        <w:pStyle w:val="ListParagraph"/>
        <w:numPr>
          <w:ilvl w:val="0"/>
          <w:numId w:val="2"/>
        </w:numPr>
        <w:spacing w:after="0"/>
        <w:rPr>
          <w:sz w:val="24"/>
          <w:szCs w:val="24"/>
        </w:rPr>
      </w:pPr>
      <w:r>
        <w:rPr>
          <w:sz w:val="24"/>
          <w:szCs w:val="24"/>
        </w:rPr>
        <w:t>Common access and utility easements will remain within the new ROW</w:t>
      </w:r>
      <w:r w:rsidR="00B65E2D">
        <w:rPr>
          <w:sz w:val="24"/>
          <w:szCs w:val="24"/>
        </w:rPr>
        <w:t>.  Once the right-of-way enters Lot 6, there are no further changes.</w:t>
      </w:r>
    </w:p>
    <w:p w14:paraId="4473A7CF" w14:textId="77777777" w:rsidR="00106C92" w:rsidRDefault="00106C92" w:rsidP="00106C92">
      <w:pPr>
        <w:spacing w:after="0"/>
        <w:rPr>
          <w:sz w:val="24"/>
          <w:szCs w:val="24"/>
        </w:rPr>
      </w:pPr>
    </w:p>
    <w:p w14:paraId="23F97B81" w14:textId="082F0F8D" w:rsidR="00106C92" w:rsidRDefault="00106C92" w:rsidP="00106C92">
      <w:pPr>
        <w:spacing w:after="0"/>
        <w:rPr>
          <w:sz w:val="24"/>
          <w:szCs w:val="24"/>
        </w:rPr>
      </w:pPr>
    </w:p>
    <w:p w14:paraId="3503CC65" w14:textId="22090274" w:rsidR="00106C92" w:rsidRDefault="00106C92" w:rsidP="00106C92">
      <w:pPr>
        <w:spacing w:after="0"/>
        <w:rPr>
          <w:sz w:val="24"/>
          <w:szCs w:val="24"/>
        </w:rPr>
      </w:pPr>
      <w:r>
        <w:rPr>
          <w:sz w:val="24"/>
          <w:szCs w:val="24"/>
        </w:rPr>
        <w:t xml:space="preserve">On </w:t>
      </w:r>
      <w:r w:rsidR="00B65E2D">
        <w:rPr>
          <w:sz w:val="24"/>
          <w:szCs w:val="24"/>
        </w:rPr>
        <w:t>June 8, 2022</w:t>
      </w:r>
      <w:r>
        <w:rPr>
          <w:sz w:val="24"/>
          <w:szCs w:val="24"/>
        </w:rPr>
        <w:t xml:space="preserve">, </w:t>
      </w:r>
      <w:r>
        <w:rPr>
          <w:b/>
          <w:bCs/>
          <w:sz w:val="24"/>
          <w:szCs w:val="24"/>
        </w:rPr>
        <w:t xml:space="preserve">T. </w:t>
      </w:r>
      <w:proofErr w:type="spellStart"/>
      <w:r>
        <w:rPr>
          <w:b/>
          <w:bCs/>
          <w:sz w:val="24"/>
          <w:szCs w:val="24"/>
        </w:rPr>
        <w:t>Maxham</w:t>
      </w:r>
      <w:proofErr w:type="spellEnd"/>
      <w:r>
        <w:rPr>
          <w:sz w:val="24"/>
          <w:szCs w:val="24"/>
        </w:rPr>
        <w:t xml:space="preserve"> closed the hearing.</w:t>
      </w:r>
    </w:p>
    <w:p w14:paraId="752986F2" w14:textId="77777777" w:rsidR="0071379A" w:rsidRDefault="0071379A" w:rsidP="00106C92">
      <w:pPr>
        <w:spacing w:after="0"/>
        <w:rPr>
          <w:b/>
          <w:sz w:val="24"/>
          <w:szCs w:val="24"/>
        </w:rPr>
      </w:pPr>
    </w:p>
    <w:p w14:paraId="69BA101C" w14:textId="77777777" w:rsidR="0071379A" w:rsidRDefault="0071379A" w:rsidP="00106C92">
      <w:pPr>
        <w:spacing w:after="0"/>
        <w:rPr>
          <w:b/>
          <w:sz w:val="24"/>
          <w:szCs w:val="24"/>
        </w:rPr>
      </w:pPr>
    </w:p>
    <w:p w14:paraId="043ABF76" w14:textId="77777777" w:rsidR="0076032A" w:rsidRDefault="0076032A" w:rsidP="00106C92">
      <w:pPr>
        <w:spacing w:after="0"/>
        <w:rPr>
          <w:b/>
          <w:sz w:val="24"/>
          <w:szCs w:val="24"/>
        </w:rPr>
      </w:pPr>
    </w:p>
    <w:p w14:paraId="15F4D16E" w14:textId="56152509" w:rsidR="00106C92" w:rsidRDefault="00106C92" w:rsidP="00106C92">
      <w:pPr>
        <w:spacing w:after="0"/>
        <w:rPr>
          <w:b/>
          <w:sz w:val="24"/>
          <w:szCs w:val="24"/>
        </w:rPr>
      </w:pPr>
      <w:r>
        <w:rPr>
          <w:b/>
          <w:sz w:val="24"/>
          <w:szCs w:val="24"/>
        </w:rPr>
        <w:t>Conclusions of Law:</w:t>
      </w:r>
    </w:p>
    <w:p w14:paraId="6C132427" w14:textId="26E38010" w:rsidR="00106C92" w:rsidRDefault="00106C92" w:rsidP="00106C92">
      <w:pPr>
        <w:pStyle w:val="ListParagraph"/>
        <w:numPr>
          <w:ilvl w:val="0"/>
          <w:numId w:val="3"/>
        </w:numPr>
        <w:spacing w:after="0"/>
        <w:rPr>
          <w:sz w:val="24"/>
          <w:szCs w:val="24"/>
        </w:rPr>
      </w:pPr>
      <w:r>
        <w:rPr>
          <w:sz w:val="24"/>
          <w:szCs w:val="24"/>
        </w:rPr>
        <w:t>The Plan, as presented, meets the requirements of Sec. 40</w:t>
      </w:r>
      <w:r w:rsidR="00B65E2D">
        <w:rPr>
          <w:sz w:val="24"/>
          <w:szCs w:val="24"/>
        </w:rPr>
        <w:t>7</w:t>
      </w:r>
      <w:r>
        <w:rPr>
          <w:sz w:val="24"/>
          <w:szCs w:val="24"/>
        </w:rPr>
        <w:t xml:space="preserve"> (Subdivision</w:t>
      </w:r>
      <w:r w:rsidR="00B65E2D">
        <w:rPr>
          <w:sz w:val="24"/>
          <w:szCs w:val="24"/>
        </w:rPr>
        <w:t xml:space="preserve"> Amendments</w:t>
      </w:r>
      <w:r>
        <w:rPr>
          <w:sz w:val="24"/>
          <w:szCs w:val="24"/>
        </w:rPr>
        <w:t>)</w:t>
      </w:r>
      <w:r w:rsidR="00B65E2D">
        <w:rPr>
          <w:sz w:val="24"/>
          <w:szCs w:val="24"/>
        </w:rPr>
        <w:t>.</w:t>
      </w:r>
    </w:p>
    <w:p w14:paraId="5C80C442" w14:textId="77777777" w:rsidR="00106C92" w:rsidRDefault="00106C92" w:rsidP="00106C92">
      <w:pPr>
        <w:pStyle w:val="ListParagraph"/>
        <w:ind w:left="630"/>
        <w:rPr>
          <w:color w:val="FF0000"/>
          <w:sz w:val="24"/>
          <w:szCs w:val="24"/>
        </w:rPr>
      </w:pPr>
    </w:p>
    <w:p w14:paraId="52F5F69C" w14:textId="3D5A02E6" w:rsidR="00106C92" w:rsidRDefault="00106C92" w:rsidP="00106C92">
      <w:pPr>
        <w:spacing w:after="0"/>
        <w:rPr>
          <w:sz w:val="24"/>
          <w:szCs w:val="24"/>
        </w:rPr>
      </w:pPr>
      <w:r>
        <w:rPr>
          <w:b/>
          <w:sz w:val="24"/>
          <w:szCs w:val="24"/>
        </w:rPr>
        <w:lastRenderedPageBreak/>
        <w:t xml:space="preserve">On </w:t>
      </w:r>
      <w:r w:rsidR="00B65E2D">
        <w:rPr>
          <w:b/>
          <w:sz w:val="24"/>
          <w:szCs w:val="24"/>
        </w:rPr>
        <w:t>June 8</w:t>
      </w:r>
      <w:r>
        <w:rPr>
          <w:b/>
          <w:sz w:val="24"/>
          <w:szCs w:val="24"/>
        </w:rPr>
        <w:t xml:space="preserve">, 2022, </w:t>
      </w:r>
      <w:r w:rsidR="00124452">
        <w:rPr>
          <w:b/>
          <w:sz w:val="24"/>
          <w:szCs w:val="24"/>
        </w:rPr>
        <w:t>D. Patterson</w:t>
      </w:r>
      <w:r>
        <w:rPr>
          <w:b/>
          <w:sz w:val="24"/>
          <w:szCs w:val="24"/>
        </w:rPr>
        <w:t xml:space="preserve"> moved to approve the </w:t>
      </w:r>
      <w:r w:rsidR="0071379A">
        <w:rPr>
          <w:b/>
          <w:sz w:val="24"/>
          <w:szCs w:val="24"/>
        </w:rPr>
        <w:t>amendment</w:t>
      </w:r>
      <w:r>
        <w:rPr>
          <w:b/>
          <w:sz w:val="24"/>
          <w:szCs w:val="24"/>
        </w:rPr>
        <w:t xml:space="preserve"> with the findings of fact listed, and with the following </w:t>
      </w:r>
      <w:proofErr w:type="gramStart"/>
      <w:r>
        <w:rPr>
          <w:b/>
          <w:sz w:val="24"/>
          <w:szCs w:val="24"/>
        </w:rPr>
        <w:t>Conditions;</w:t>
      </w:r>
      <w:proofErr w:type="gramEnd"/>
      <w:r>
        <w:rPr>
          <w:b/>
          <w:sz w:val="24"/>
          <w:szCs w:val="24"/>
        </w:rPr>
        <w:t xml:space="preserve"> </w:t>
      </w:r>
      <w:r w:rsidR="00124452">
        <w:rPr>
          <w:b/>
          <w:sz w:val="24"/>
          <w:szCs w:val="24"/>
        </w:rPr>
        <w:t>L. Kilcoyne</w:t>
      </w:r>
      <w:r>
        <w:rPr>
          <w:b/>
          <w:sz w:val="24"/>
          <w:szCs w:val="24"/>
        </w:rPr>
        <w:t xml:space="preserve"> second.</w:t>
      </w:r>
      <w:r>
        <w:rPr>
          <w:sz w:val="24"/>
          <w:szCs w:val="24"/>
        </w:rPr>
        <w:t xml:space="preserve"> </w:t>
      </w:r>
      <w:r>
        <w:rPr>
          <w:b/>
          <w:sz w:val="24"/>
          <w:szCs w:val="24"/>
        </w:rPr>
        <w:t>Whereas, Final Approval was granted to the application,</w:t>
      </w:r>
      <w:r>
        <w:rPr>
          <w:sz w:val="24"/>
          <w:szCs w:val="24"/>
        </w:rPr>
        <w:t xml:space="preserve"> with the following people voting in the affirmative: T. </w:t>
      </w:r>
      <w:proofErr w:type="spellStart"/>
      <w:r>
        <w:rPr>
          <w:sz w:val="24"/>
          <w:szCs w:val="24"/>
        </w:rPr>
        <w:t>Maxham</w:t>
      </w:r>
      <w:proofErr w:type="spellEnd"/>
      <w:r>
        <w:rPr>
          <w:sz w:val="24"/>
          <w:szCs w:val="24"/>
        </w:rPr>
        <w:t xml:space="preserve">, D. Patterson, </w:t>
      </w:r>
      <w:r w:rsidR="0071379A">
        <w:rPr>
          <w:sz w:val="24"/>
          <w:szCs w:val="24"/>
        </w:rPr>
        <w:t xml:space="preserve">G. Hunt; </w:t>
      </w:r>
      <w:r>
        <w:rPr>
          <w:sz w:val="24"/>
          <w:szCs w:val="24"/>
        </w:rPr>
        <w:t>L. Kilcoyne, N. Hayward, and J. Brightwell</w:t>
      </w:r>
      <w:r w:rsidR="00124452">
        <w:rPr>
          <w:sz w:val="24"/>
          <w:szCs w:val="24"/>
        </w:rPr>
        <w:t>; E. Reid.</w:t>
      </w:r>
    </w:p>
    <w:p w14:paraId="4102A852" w14:textId="77777777" w:rsidR="00106C92" w:rsidRDefault="00106C92" w:rsidP="00106C92">
      <w:pPr>
        <w:spacing w:after="0"/>
        <w:rPr>
          <w:b/>
          <w:sz w:val="24"/>
          <w:szCs w:val="24"/>
        </w:rPr>
      </w:pPr>
    </w:p>
    <w:p w14:paraId="1E002FFA" w14:textId="77777777" w:rsidR="00106C92" w:rsidRDefault="00106C92" w:rsidP="00106C92">
      <w:pPr>
        <w:spacing w:after="0"/>
        <w:rPr>
          <w:sz w:val="24"/>
          <w:szCs w:val="24"/>
        </w:rPr>
      </w:pPr>
      <w:r>
        <w:rPr>
          <w:b/>
          <w:sz w:val="24"/>
          <w:szCs w:val="24"/>
        </w:rPr>
        <w:t>Conditions of Approval:</w:t>
      </w:r>
      <w:r>
        <w:rPr>
          <w:sz w:val="24"/>
          <w:szCs w:val="24"/>
        </w:rPr>
        <w:t xml:space="preserve">    </w:t>
      </w:r>
    </w:p>
    <w:p w14:paraId="083D49AA" w14:textId="31C31B21" w:rsidR="00106C92" w:rsidRDefault="00106C92" w:rsidP="00106C92">
      <w:pPr>
        <w:pStyle w:val="ListParagraph"/>
        <w:numPr>
          <w:ilvl w:val="0"/>
          <w:numId w:val="4"/>
        </w:numPr>
        <w:spacing w:after="0"/>
        <w:rPr>
          <w:sz w:val="24"/>
          <w:szCs w:val="24"/>
        </w:rPr>
      </w:pPr>
      <w:r>
        <w:rPr>
          <w:sz w:val="24"/>
          <w:szCs w:val="24"/>
        </w:rPr>
        <w:t>Applicants shall comply with all evidence and testimony as presented at the hearing or as amended by this decision.</w:t>
      </w:r>
    </w:p>
    <w:p w14:paraId="57BC1EFD" w14:textId="5F8BBF23" w:rsidR="0071379A" w:rsidRDefault="0071379A" w:rsidP="0071379A">
      <w:pPr>
        <w:pStyle w:val="ListParagraph"/>
        <w:numPr>
          <w:ilvl w:val="0"/>
          <w:numId w:val="4"/>
        </w:numPr>
        <w:spacing w:after="0"/>
        <w:rPr>
          <w:sz w:val="24"/>
          <w:szCs w:val="24"/>
        </w:rPr>
      </w:pPr>
      <w:r>
        <w:rPr>
          <w:sz w:val="24"/>
          <w:szCs w:val="24"/>
        </w:rPr>
        <w:t>All other conditions of Decision #2</w:t>
      </w:r>
      <w:r w:rsidR="0076032A">
        <w:rPr>
          <w:sz w:val="24"/>
          <w:szCs w:val="24"/>
        </w:rPr>
        <w:t>1</w:t>
      </w:r>
      <w:r>
        <w:rPr>
          <w:sz w:val="24"/>
          <w:szCs w:val="24"/>
        </w:rPr>
        <w:t>-</w:t>
      </w:r>
      <w:r w:rsidR="0076032A">
        <w:rPr>
          <w:sz w:val="24"/>
          <w:szCs w:val="24"/>
        </w:rPr>
        <w:t>95-FR129</w:t>
      </w:r>
      <w:r>
        <w:rPr>
          <w:sz w:val="24"/>
          <w:szCs w:val="24"/>
        </w:rPr>
        <w:t xml:space="preserve"> remain unless specifically amended by this decision.</w:t>
      </w:r>
    </w:p>
    <w:p w14:paraId="323FA8F2" w14:textId="77777777" w:rsidR="00106C92" w:rsidRDefault="00106C92" w:rsidP="00106C92">
      <w:pPr>
        <w:pStyle w:val="ListParagraph"/>
        <w:numPr>
          <w:ilvl w:val="0"/>
          <w:numId w:val="4"/>
        </w:numPr>
        <w:spacing w:after="0"/>
        <w:rPr>
          <w:sz w:val="24"/>
          <w:szCs w:val="24"/>
        </w:rPr>
      </w:pPr>
      <w:r>
        <w:rPr>
          <w:sz w:val="24"/>
          <w:szCs w:val="24"/>
        </w:rPr>
        <w:t>The Final Plat Mylar must be presented to the DRB for approval and signature, and recorded in the Town Land Records, within 180 days of the date of the Board’s approval of the Final Plat.</w:t>
      </w:r>
    </w:p>
    <w:p w14:paraId="78779E26" w14:textId="77777777" w:rsidR="00106C92" w:rsidRDefault="00106C92" w:rsidP="00106C92">
      <w:pPr>
        <w:pStyle w:val="ListParagraph"/>
        <w:numPr>
          <w:ilvl w:val="0"/>
          <w:numId w:val="4"/>
        </w:numPr>
        <w:spacing w:after="0"/>
        <w:rPr>
          <w:sz w:val="24"/>
          <w:szCs w:val="24"/>
        </w:rPr>
      </w:pPr>
      <w:r>
        <w:rPr>
          <w:sz w:val="24"/>
          <w:szCs w:val="24"/>
        </w:rP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1FFB1CF4" w14:textId="77777777" w:rsidR="00106C92" w:rsidRDefault="00106C92" w:rsidP="00106C92">
      <w:pPr>
        <w:spacing w:after="0"/>
        <w:rPr>
          <w:sz w:val="24"/>
          <w:szCs w:val="24"/>
        </w:rPr>
      </w:pPr>
      <w:r>
        <w:rPr>
          <w:sz w:val="24"/>
          <w:szCs w:val="24"/>
        </w:rPr>
        <w:t xml:space="preserve"> </w:t>
      </w:r>
    </w:p>
    <w:p w14:paraId="7F928DEF" w14:textId="77777777" w:rsidR="00106C92" w:rsidRDefault="00106C92" w:rsidP="00106C92">
      <w:pPr>
        <w:spacing w:after="0"/>
        <w:ind w:firstLine="360"/>
        <w:rPr>
          <w:b/>
          <w:sz w:val="28"/>
          <w:szCs w:val="28"/>
        </w:rPr>
      </w:pPr>
      <w:r>
        <w:rPr>
          <w:b/>
          <w:sz w:val="28"/>
          <w:szCs w:val="28"/>
        </w:rPr>
        <w:t xml:space="preserve">   </w:t>
      </w:r>
    </w:p>
    <w:p w14:paraId="345C0D1A" w14:textId="77777777" w:rsidR="00106C92" w:rsidRDefault="00106C92" w:rsidP="00106C92">
      <w:pPr>
        <w:spacing w:after="0"/>
        <w:ind w:firstLine="360"/>
        <w:rPr>
          <w:b/>
          <w:sz w:val="28"/>
          <w:szCs w:val="28"/>
        </w:rPr>
      </w:pPr>
    </w:p>
    <w:p w14:paraId="4A6F5AEA" w14:textId="06799CBD" w:rsidR="00106C92" w:rsidRDefault="00106C92" w:rsidP="00106C92">
      <w:pPr>
        <w:spacing w:after="0"/>
        <w:ind w:firstLine="360"/>
        <w:rPr>
          <w:b/>
          <w:sz w:val="20"/>
          <w:szCs w:val="20"/>
        </w:rPr>
      </w:pPr>
      <w:r>
        <w:rPr>
          <w:b/>
          <w:sz w:val="28"/>
          <w:szCs w:val="28"/>
        </w:rPr>
        <w:t xml:space="preserve"> Dated: </w:t>
      </w:r>
      <w:r w:rsidR="00E80C86">
        <w:rPr>
          <w:b/>
          <w:sz w:val="28"/>
          <w:szCs w:val="28"/>
        </w:rPr>
        <w:t>June 8</w:t>
      </w:r>
      <w:r>
        <w:rPr>
          <w:b/>
          <w:sz w:val="28"/>
          <w:szCs w:val="28"/>
        </w:rPr>
        <w:t>, 2022</w:t>
      </w:r>
    </w:p>
    <w:p w14:paraId="2CFF8CE3" w14:textId="77777777" w:rsidR="00106C92" w:rsidRDefault="00106C92" w:rsidP="00106C92">
      <w:pPr>
        <w:spacing w:after="0"/>
        <w:rPr>
          <w:b/>
          <w:sz w:val="18"/>
          <w:szCs w:val="18"/>
        </w:rPr>
      </w:pPr>
    </w:p>
    <w:p w14:paraId="62CCBE0C" w14:textId="77777777" w:rsidR="00106C92" w:rsidRDefault="00106C92" w:rsidP="00106C92">
      <w:pPr>
        <w:spacing w:after="0"/>
        <w:rPr>
          <w:b/>
          <w:sz w:val="18"/>
          <w:szCs w:val="18"/>
        </w:rPr>
      </w:pPr>
    </w:p>
    <w:p w14:paraId="63A3CD8A" w14:textId="77777777" w:rsidR="00106C92" w:rsidRDefault="00106C92" w:rsidP="00106C92">
      <w:pPr>
        <w:spacing w:after="0"/>
        <w:rPr>
          <w:b/>
          <w:sz w:val="24"/>
          <w:szCs w:val="24"/>
        </w:rPr>
      </w:pPr>
      <w:r>
        <w:rPr>
          <w:b/>
          <w:sz w:val="24"/>
          <w:szCs w:val="24"/>
        </w:rPr>
        <w:t xml:space="preserve">           _________________________________________</w:t>
      </w:r>
    </w:p>
    <w:p w14:paraId="1E1118A7" w14:textId="77777777" w:rsidR="00106C92" w:rsidRDefault="00106C92" w:rsidP="00106C92">
      <w:pPr>
        <w:spacing w:after="0"/>
        <w:rPr>
          <w:b/>
          <w:sz w:val="20"/>
          <w:szCs w:val="20"/>
        </w:rPr>
      </w:pPr>
      <w:r>
        <w:rPr>
          <w:b/>
          <w:sz w:val="18"/>
          <w:szCs w:val="18"/>
        </w:rPr>
        <w:tab/>
      </w:r>
      <w:r>
        <w:rPr>
          <w:b/>
          <w:sz w:val="18"/>
          <w:szCs w:val="18"/>
        </w:rPr>
        <w:tab/>
      </w:r>
      <w:r>
        <w:rPr>
          <w:b/>
          <w:sz w:val="20"/>
          <w:szCs w:val="20"/>
        </w:rPr>
        <w:t>For the Development Review Board</w:t>
      </w:r>
    </w:p>
    <w:p w14:paraId="10EB7944" w14:textId="77777777" w:rsidR="00106C92" w:rsidRDefault="00106C92" w:rsidP="00106C92">
      <w:pPr>
        <w:spacing w:after="0"/>
        <w:rPr>
          <w:b/>
          <w:sz w:val="18"/>
          <w:szCs w:val="18"/>
        </w:rPr>
      </w:pPr>
    </w:p>
    <w:p w14:paraId="3497DAD4" w14:textId="77777777" w:rsidR="00106C92" w:rsidRDefault="00106C92" w:rsidP="00106C92">
      <w:pPr>
        <w:spacing w:after="0"/>
        <w:rPr>
          <w:sz w:val="20"/>
          <w:szCs w:val="20"/>
        </w:rPr>
      </w:pPr>
    </w:p>
    <w:p w14:paraId="40B2C88A" w14:textId="77777777" w:rsidR="00106C92" w:rsidRDefault="00106C92" w:rsidP="00106C92">
      <w:pPr>
        <w:pStyle w:val="Heading2"/>
        <w:spacing w:after="0"/>
        <w:rPr>
          <w:sz w:val="22"/>
          <w:szCs w:val="22"/>
        </w:rPr>
      </w:pPr>
      <w:r>
        <w:rPr>
          <w:sz w:val="22"/>
          <w:szCs w:val="22"/>
        </w:rPr>
        <w:t>APPEAL RIGHTS</w:t>
      </w:r>
    </w:p>
    <w:p w14:paraId="25C42196" w14:textId="77777777" w:rsidR="00106C92" w:rsidRDefault="00106C92" w:rsidP="00106C92">
      <w:pPr>
        <w:spacing w:after="0"/>
        <w:rPr>
          <w:b/>
          <w:sz w:val="16"/>
          <w:szCs w:val="16"/>
        </w:rPr>
      </w:pPr>
      <w:r>
        <w:rPr>
          <w:sz w:val="16"/>
          <w:szCs w:val="16"/>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which is $262.50 as of January 2011.A copy of this appeal must be filed with the Zoning Administrator or the Town Clerk within thirty (30) days from the date of issuance. </w:t>
      </w:r>
    </w:p>
    <w:p w14:paraId="70494DF5" w14:textId="77777777" w:rsidR="00106C92" w:rsidRDefault="00106C92" w:rsidP="00106C92"/>
    <w:p w14:paraId="4B0BD4FA" w14:textId="77777777" w:rsidR="003B3992" w:rsidRDefault="003E2006"/>
    <w:sectPr w:rsidR="003B3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DE4C" w14:textId="77777777" w:rsidR="003E2006" w:rsidRDefault="003E2006" w:rsidP="00BF1EB8">
      <w:pPr>
        <w:spacing w:after="0" w:line="240" w:lineRule="auto"/>
      </w:pPr>
      <w:r>
        <w:separator/>
      </w:r>
    </w:p>
  </w:endnote>
  <w:endnote w:type="continuationSeparator" w:id="0">
    <w:p w14:paraId="13D5DC9F" w14:textId="77777777" w:rsidR="003E2006" w:rsidRDefault="003E2006" w:rsidP="00BF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75838"/>
      <w:docPartObj>
        <w:docPartGallery w:val="Page Numbers (Bottom of Page)"/>
        <w:docPartUnique/>
      </w:docPartObj>
    </w:sdtPr>
    <w:sdtEndPr/>
    <w:sdtContent>
      <w:sdt>
        <w:sdtPr>
          <w:id w:val="-1769616900"/>
          <w:docPartObj>
            <w:docPartGallery w:val="Page Numbers (Top of Page)"/>
            <w:docPartUnique/>
          </w:docPartObj>
        </w:sdtPr>
        <w:sdtEndPr/>
        <w:sdtContent>
          <w:p w14:paraId="1780CEE3" w14:textId="77777777" w:rsidR="00BF1EB8" w:rsidRDefault="00BF1EB8">
            <w:pPr>
              <w:pStyle w:val="Footer"/>
              <w:jc w:val="right"/>
            </w:pPr>
          </w:p>
          <w:p w14:paraId="4FAFACCC" w14:textId="3D0C2F56" w:rsidR="00BF1EB8" w:rsidRDefault="00BF1E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EC23D5" w14:textId="77777777" w:rsidR="00BF1EB8" w:rsidRDefault="00BF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0980" w14:textId="77777777" w:rsidR="003E2006" w:rsidRDefault="003E2006" w:rsidP="00BF1EB8">
      <w:pPr>
        <w:spacing w:after="0" w:line="240" w:lineRule="auto"/>
      </w:pPr>
      <w:r>
        <w:separator/>
      </w:r>
    </w:p>
  </w:footnote>
  <w:footnote w:type="continuationSeparator" w:id="0">
    <w:p w14:paraId="6638E4E3" w14:textId="77777777" w:rsidR="003E2006" w:rsidRDefault="003E2006" w:rsidP="00BF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2FFB" w14:textId="60F778FA" w:rsidR="00BF1EB8" w:rsidRDefault="00BF1EB8">
    <w:pPr>
      <w:spacing w:line="264" w:lineRule="auto"/>
    </w:pPr>
    <w:r>
      <w:rPr>
        <w:noProof/>
        <w:color w:val="000000"/>
      </w:rPr>
      <mc:AlternateContent>
        <mc:Choice Requires="wps">
          <w:drawing>
            <wp:anchor distT="0" distB="0" distL="114300" distR="114300" simplePos="0" relativeHeight="251657216" behindDoc="0" locked="0" layoutInCell="1" allowOverlap="1" wp14:anchorId="07F09F62" wp14:editId="351F14F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D7E253"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Henry Amendment</w:t>
    </w:r>
    <w:sdt>
      <w:sdtPr>
        <w:rPr>
          <w:color w:val="4472C4" w:themeColor="accent1"/>
          <w:sz w:val="20"/>
          <w:szCs w:val="20"/>
        </w:rPr>
        <w:alias w:val="Title"/>
        <w:id w:val="15524250"/>
        <w:placeholder>
          <w:docPart w:val="5E4DBEAB3696450AB70F411263D63956"/>
        </w:placeholder>
        <w:dataBinding w:prefixMappings="xmlns:ns0='http://schemas.openxmlformats.org/package/2006/metadata/core-properties' xmlns:ns1='http://purl.org/dc/elements/1.1/'" w:xpath="/ns0:coreProperties[1]/ns1:title[1]" w:storeItemID="{6C3C8BC8-F283-45AE-878A-BAB7291924A1}"/>
        <w:text/>
      </w:sdtPr>
      <w:sdtEndPr/>
      <w:sdtContent>
        <w:r w:rsidR="00560D45">
          <w:rPr>
            <w:color w:val="4472C4" w:themeColor="accent1"/>
            <w:sz w:val="20"/>
            <w:szCs w:val="20"/>
          </w:rPr>
          <w:t>- 22-75-FR129</w:t>
        </w:r>
      </w:sdtContent>
    </w:sdt>
  </w:p>
  <w:p w14:paraId="29B37906" w14:textId="5B131873" w:rsidR="00BF1EB8" w:rsidRDefault="00BF1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47"/>
    <w:multiLevelType w:val="hybridMultilevel"/>
    <w:tmpl w:val="D23A935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E9403F"/>
    <w:multiLevelType w:val="hybridMultilevel"/>
    <w:tmpl w:val="C23E5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9066E7"/>
    <w:multiLevelType w:val="hybridMultilevel"/>
    <w:tmpl w:val="57442534"/>
    <w:lvl w:ilvl="0" w:tplc="0FB4CE0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E179DF"/>
    <w:multiLevelType w:val="hybridMultilevel"/>
    <w:tmpl w:val="75C2EDEC"/>
    <w:lvl w:ilvl="0" w:tplc="04090001">
      <w:numFmt w:val="decimal"/>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781702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923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159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11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2"/>
    <w:rsid w:val="000100A3"/>
    <w:rsid w:val="000B41F6"/>
    <w:rsid w:val="00106C92"/>
    <w:rsid w:val="00124452"/>
    <w:rsid w:val="001313E8"/>
    <w:rsid w:val="0013320A"/>
    <w:rsid w:val="0027209F"/>
    <w:rsid w:val="002777BA"/>
    <w:rsid w:val="0039788A"/>
    <w:rsid w:val="003E2006"/>
    <w:rsid w:val="004E27B8"/>
    <w:rsid w:val="00560D45"/>
    <w:rsid w:val="005C7116"/>
    <w:rsid w:val="0066395B"/>
    <w:rsid w:val="006700DB"/>
    <w:rsid w:val="0071379A"/>
    <w:rsid w:val="00750867"/>
    <w:rsid w:val="0076032A"/>
    <w:rsid w:val="007A7500"/>
    <w:rsid w:val="008A30B9"/>
    <w:rsid w:val="009E095F"/>
    <w:rsid w:val="00B65E2D"/>
    <w:rsid w:val="00BF1EB8"/>
    <w:rsid w:val="00C038EC"/>
    <w:rsid w:val="00C900CC"/>
    <w:rsid w:val="00D43111"/>
    <w:rsid w:val="00E80C86"/>
    <w:rsid w:val="00F049C4"/>
    <w:rsid w:val="00FC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69460"/>
  <w15:chartTrackingRefBased/>
  <w15:docId w15:val="{D984C023-757C-4C3C-9FBA-64A1DBB4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92"/>
    <w:pPr>
      <w:spacing w:line="252" w:lineRule="auto"/>
    </w:pPr>
  </w:style>
  <w:style w:type="paragraph" w:styleId="Heading2">
    <w:name w:val="heading 2"/>
    <w:basedOn w:val="Normal"/>
    <w:next w:val="Normal"/>
    <w:link w:val="Heading2Char"/>
    <w:semiHidden/>
    <w:unhideWhenUsed/>
    <w:qFormat/>
    <w:rsid w:val="00106C92"/>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6C92"/>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106C92"/>
    <w:pPr>
      <w:ind w:left="720"/>
      <w:contextualSpacing/>
    </w:pPr>
  </w:style>
  <w:style w:type="paragraph" w:styleId="Header">
    <w:name w:val="header"/>
    <w:basedOn w:val="Normal"/>
    <w:link w:val="HeaderChar"/>
    <w:uiPriority w:val="99"/>
    <w:unhideWhenUsed/>
    <w:rsid w:val="00BF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EB8"/>
  </w:style>
  <w:style w:type="paragraph" w:styleId="Footer">
    <w:name w:val="footer"/>
    <w:basedOn w:val="Normal"/>
    <w:link w:val="FooterChar"/>
    <w:uiPriority w:val="99"/>
    <w:unhideWhenUsed/>
    <w:rsid w:val="00BF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4DBEAB3696450AB70F411263D63956"/>
        <w:category>
          <w:name w:val="General"/>
          <w:gallery w:val="placeholder"/>
        </w:category>
        <w:types>
          <w:type w:val="bbPlcHdr"/>
        </w:types>
        <w:behaviors>
          <w:behavior w:val="content"/>
        </w:behaviors>
        <w:guid w:val="{B58F4C7A-0D4C-4968-B813-538C8FB77FDE}"/>
      </w:docPartPr>
      <w:docPartBody>
        <w:p w:rsidR="00F31528" w:rsidRDefault="00B63648" w:rsidP="00B63648">
          <w:pPr>
            <w:pStyle w:val="5E4DBEAB3696450AB70F411263D63956"/>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48"/>
    <w:rsid w:val="007D7D2A"/>
    <w:rsid w:val="009A1336"/>
    <w:rsid w:val="00B63648"/>
    <w:rsid w:val="00F25C05"/>
    <w:rsid w:val="00F3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4DBEAB3696450AB70F411263D63956">
    <w:name w:val="5E4DBEAB3696450AB70F411263D63956"/>
    <w:rsid w:val="00B6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- 22-75-FR129</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- 22-75-FR129</dc:title>
  <dc:subject/>
  <dc:creator>South Hero Zoning</dc:creator>
  <cp:keywords/>
  <dc:description/>
  <cp:lastModifiedBy>South Hero Zoning</cp:lastModifiedBy>
  <cp:revision>5</cp:revision>
  <cp:lastPrinted>2022-06-07T18:59:00Z</cp:lastPrinted>
  <dcterms:created xsi:type="dcterms:W3CDTF">2022-06-07T16:38:00Z</dcterms:created>
  <dcterms:modified xsi:type="dcterms:W3CDTF">2022-06-09T02:24:00Z</dcterms:modified>
</cp:coreProperties>
</file>