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E16E5" w14:textId="77777777" w:rsidR="00B87264" w:rsidRDefault="00B87264" w:rsidP="00B87264">
      <w:pPr>
        <w:spacing w:after="0"/>
        <w:jc w:val="center"/>
        <w:rPr>
          <w:b/>
          <w:sz w:val="28"/>
          <w:szCs w:val="28"/>
        </w:rPr>
      </w:pPr>
      <w:r>
        <w:rPr>
          <w:b/>
          <w:sz w:val="28"/>
          <w:szCs w:val="28"/>
        </w:rPr>
        <w:t>TOWN OF SOUTH HERO, VERMONT</w:t>
      </w:r>
    </w:p>
    <w:p w14:paraId="5D815A1B" w14:textId="77777777" w:rsidR="00B87264" w:rsidRDefault="00B87264" w:rsidP="00B87264">
      <w:pPr>
        <w:spacing w:after="0"/>
        <w:jc w:val="center"/>
        <w:rPr>
          <w:b/>
          <w:sz w:val="28"/>
          <w:szCs w:val="28"/>
        </w:rPr>
      </w:pPr>
      <w:r>
        <w:rPr>
          <w:b/>
          <w:sz w:val="28"/>
          <w:szCs w:val="28"/>
        </w:rPr>
        <w:t>DEVELOPMENT REVIEW BOARD</w:t>
      </w:r>
    </w:p>
    <w:p w14:paraId="466AB505" w14:textId="4FA2B1DE" w:rsidR="00B87264" w:rsidRDefault="00B87264" w:rsidP="00B87264">
      <w:pPr>
        <w:spacing w:after="0"/>
        <w:jc w:val="center"/>
        <w:rPr>
          <w:b/>
          <w:sz w:val="28"/>
          <w:szCs w:val="28"/>
        </w:rPr>
      </w:pPr>
      <w:r>
        <w:rPr>
          <w:b/>
          <w:sz w:val="28"/>
          <w:szCs w:val="28"/>
        </w:rPr>
        <w:t xml:space="preserve">DECISION DATED June </w:t>
      </w:r>
      <w:r w:rsidR="004853B6">
        <w:rPr>
          <w:b/>
          <w:sz w:val="28"/>
          <w:szCs w:val="28"/>
        </w:rPr>
        <w:t>22</w:t>
      </w:r>
      <w:r>
        <w:rPr>
          <w:b/>
          <w:sz w:val="28"/>
          <w:szCs w:val="28"/>
        </w:rPr>
        <w:t>, 2022</w:t>
      </w:r>
    </w:p>
    <w:p w14:paraId="06AF5A49" w14:textId="77777777" w:rsidR="00B87264" w:rsidRDefault="00B87264" w:rsidP="00B87264">
      <w:pPr>
        <w:spacing w:after="0"/>
        <w:jc w:val="center"/>
        <w:rPr>
          <w:b/>
          <w:sz w:val="28"/>
          <w:szCs w:val="28"/>
        </w:rPr>
      </w:pPr>
    </w:p>
    <w:p w14:paraId="1027515A" w14:textId="77777777" w:rsidR="00B87264" w:rsidRDefault="00B87264" w:rsidP="00B87264">
      <w:pPr>
        <w:spacing w:after="0"/>
        <w:jc w:val="center"/>
        <w:rPr>
          <w:b/>
          <w:sz w:val="28"/>
          <w:szCs w:val="28"/>
        </w:rPr>
      </w:pPr>
    </w:p>
    <w:p w14:paraId="4F68B153" w14:textId="77777777" w:rsidR="00B87264" w:rsidRDefault="00B87264" w:rsidP="00B87264">
      <w:pPr>
        <w:spacing w:after="0"/>
        <w:jc w:val="center"/>
        <w:rPr>
          <w:b/>
          <w:sz w:val="28"/>
          <w:szCs w:val="28"/>
        </w:rPr>
      </w:pPr>
    </w:p>
    <w:p w14:paraId="7E67AFDD" w14:textId="77777777" w:rsidR="00B87264" w:rsidRDefault="00B87264" w:rsidP="00B87264">
      <w:pPr>
        <w:spacing w:after="0"/>
        <w:jc w:val="center"/>
        <w:rPr>
          <w:b/>
          <w:sz w:val="24"/>
          <w:szCs w:val="24"/>
        </w:rPr>
      </w:pPr>
    </w:p>
    <w:p w14:paraId="6AD2B502" w14:textId="77777777" w:rsidR="00B87264" w:rsidRDefault="00B87264" w:rsidP="00B87264">
      <w:pPr>
        <w:spacing w:after="0"/>
        <w:rPr>
          <w:b/>
          <w:sz w:val="24"/>
          <w:szCs w:val="24"/>
          <w:u w:val="single"/>
        </w:rPr>
      </w:pPr>
      <w:r>
        <w:rPr>
          <w:b/>
          <w:sz w:val="24"/>
          <w:szCs w:val="24"/>
          <w:u w:val="single"/>
        </w:rPr>
        <w:t>APPLICANT</w:t>
      </w:r>
    </w:p>
    <w:p w14:paraId="3076F428" w14:textId="5B59CCAD" w:rsidR="00B87264" w:rsidRDefault="00B87264" w:rsidP="00B87264">
      <w:pPr>
        <w:spacing w:after="0"/>
        <w:rPr>
          <w:b/>
          <w:sz w:val="24"/>
          <w:szCs w:val="24"/>
        </w:rPr>
      </w:pPr>
      <w:r>
        <w:rPr>
          <w:b/>
          <w:sz w:val="24"/>
          <w:szCs w:val="24"/>
        </w:rPr>
        <w:t>Name:</w:t>
      </w:r>
      <w:r>
        <w:rPr>
          <w:b/>
          <w:sz w:val="24"/>
          <w:szCs w:val="24"/>
        </w:rPr>
        <w:tab/>
      </w:r>
      <w:r>
        <w:rPr>
          <w:b/>
          <w:sz w:val="24"/>
          <w:szCs w:val="24"/>
        </w:rPr>
        <w:tab/>
        <w:t>Ken Kowalewitz and Jenn Bunker</w:t>
      </w:r>
    </w:p>
    <w:p w14:paraId="5E8161B2" w14:textId="6508B460" w:rsidR="00B87264" w:rsidRDefault="00B87264" w:rsidP="00B87264">
      <w:pPr>
        <w:spacing w:after="0"/>
        <w:rPr>
          <w:b/>
          <w:sz w:val="24"/>
          <w:szCs w:val="24"/>
        </w:rPr>
      </w:pPr>
      <w:r>
        <w:rPr>
          <w:b/>
          <w:sz w:val="24"/>
          <w:szCs w:val="24"/>
        </w:rPr>
        <w:t>Address:</w:t>
      </w:r>
      <w:r>
        <w:rPr>
          <w:b/>
          <w:sz w:val="24"/>
          <w:szCs w:val="24"/>
        </w:rPr>
        <w:tab/>
        <w:t>23 Kibbe Farm Rd., South Hero, VT 05486</w:t>
      </w:r>
    </w:p>
    <w:p w14:paraId="248DC83A" w14:textId="77777777" w:rsidR="00B87264" w:rsidRDefault="00B87264" w:rsidP="00B87264">
      <w:pPr>
        <w:spacing w:after="0"/>
        <w:rPr>
          <w:b/>
          <w:sz w:val="24"/>
          <w:szCs w:val="24"/>
        </w:rPr>
      </w:pPr>
    </w:p>
    <w:p w14:paraId="6E471563" w14:textId="77777777" w:rsidR="00B87264" w:rsidRDefault="00B87264" w:rsidP="00B87264">
      <w:pPr>
        <w:spacing w:after="0"/>
        <w:rPr>
          <w:b/>
          <w:sz w:val="24"/>
          <w:szCs w:val="24"/>
          <w:u w:val="single"/>
        </w:rPr>
      </w:pPr>
      <w:r>
        <w:rPr>
          <w:b/>
          <w:sz w:val="24"/>
          <w:szCs w:val="24"/>
          <w:u w:val="single"/>
        </w:rPr>
        <w:t>LANDOWNER</w:t>
      </w:r>
    </w:p>
    <w:p w14:paraId="380C5946" w14:textId="77777777" w:rsidR="00B87264" w:rsidRDefault="00B87264" w:rsidP="00B87264">
      <w:pPr>
        <w:spacing w:after="0"/>
        <w:rPr>
          <w:b/>
          <w:sz w:val="24"/>
          <w:szCs w:val="24"/>
        </w:rPr>
      </w:pPr>
      <w:r>
        <w:rPr>
          <w:b/>
          <w:sz w:val="24"/>
          <w:szCs w:val="24"/>
        </w:rPr>
        <w:t>Name:</w:t>
      </w:r>
      <w:r>
        <w:rPr>
          <w:b/>
          <w:sz w:val="24"/>
          <w:szCs w:val="24"/>
        </w:rPr>
        <w:tab/>
      </w:r>
      <w:r>
        <w:rPr>
          <w:b/>
          <w:sz w:val="24"/>
          <w:szCs w:val="24"/>
        </w:rPr>
        <w:tab/>
        <w:t>Same</w:t>
      </w:r>
    </w:p>
    <w:p w14:paraId="4CC991E5" w14:textId="77777777" w:rsidR="00B87264" w:rsidRDefault="00B87264" w:rsidP="00B87264">
      <w:pPr>
        <w:spacing w:after="0"/>
        <w:rPr>
          <w:b/>
          <w:sz w:val="24"/>
          <w:szCs w:val="24"/>
        </w:rPr>
      </w:pPr>
    </w:p>
    <w:p w14:paraId="6BEED242" w14:textId="77777777" w:rsidR="00B87264" w:rsidRDefault="00B87264" w:rsidP="00B87264">
      <w:pPr>
        <w:spacing w:after="0"/>
        <w:rPr>
          <w:b/>
          <w:sz w:val="24"/>
          <w:szCs w:val="24"/>
          <w:u w:val="single"/>
        </w:rPr>
      </w:pPr>
      <w:r>
        <w:rPr>
          <w:b/>
          <w:sz w:val="24"/>
          <w:szCs w:val="24"/>
          <w:u w:val="single"/>
        </w:rPr>
        <w:t>APPLICATION</w:t>
      </w:r>
    </w:p>
    <w:p w14:paraId="44052689" w14:textId="77777777" w:rsidR="00B87264" w:rsidRDefault="00B87264" w:rsidP="00B87264">
      <w:pPr>
        <w:spacing w:after="0"/>
        <w:ind w:left="1440" w:hanging="1440"/>
        <w:rPr>
          <w:b/>
          <w:sz w:val="24"/>
          <w:szCs w:val="24"/>
        </w:rPr>
      </w:pPr>
      <w:r>
        <w:rPr>
          <w:b/>
          <w:sz w:val="24"/>
          <w:szCs w:val="24"/>
        </w:rPr>
        <w:t>Type:</w:t>
      </w:r>
      <w:r>
        <w:rPr>
          <w:b/>
          <w:sz w:val="24"/>
          <w:szCs w:val="24"/>
        </w:rPr>
        <w:tab/>
        <w:t xml:space="preserve">Request for Setback Waiver </w:t>
      </w:r>
    </w:p>
    <w:p w14:paraId="14A439A7" w14:textId="77777777" w:rsidR="00B87264" w:rsidRDefault="00B87264" w:rsidP="00B87264">
      <w:pPr>
        <w:spacing w:after="0"/>
        <w:ind w:left="1440" w:hanging="1440"/>
        <w:rPr>
          <w:b/>
          <w:sz w:val="24"/>
          <w:szCs w:val="24"/>
        </w:rPr>
      </w:pPr>
    </w:p>
    <w:p w14:paraId="7B447403" w14:textId="36421F5D" w:rsidR="00B87264" w:rsidRDefault="00B87264" w:rsidP="00B87264">
      <w:pPr>
        <w:spacing w:after="0"/>
        <w:rPr>
          <w:b/>
          <w:sz w:val="24"/>
          <w:szCs w:val="24"/>
        </w:rPr>
      </w:pPr>
      <w:r>
        <w:rPr>
          <w:b/>
          <w:sz w:val="24"/>
          <w:szCs w:val="24"/>
        </w:rPr>
        <w:t>Number:</w:t>
      </w:r>
      <w:r>
        <w:rPr>
          <w:b/>
          <w:sz w:val="24"/>
          <w:szCs w:val="24"/>
        </w:rPr>
        <w:tab/>
        <w:t>22-67-KF023</w:t>
      </w:r>
    </w:p>
    <w:p w14:paraId="0C2387B6" w14:textId="77777777" w:rsidR="00B87264" w:rsidRDefault="00B87264" w:rsidP="00B87264">
      <w:pPr>
        <w:spacing w:after="0"/>
        <w:rPr>
          <w:b/>
          <w:sz w:val="24"/>
          <w:szCs w:val="24"/>
        </w:rPr>
      </w:pPr>
    </w:p>
    <w:p w14:paraId="4A1A04E4" w14:textId="77777777" w:rsidR="00B87264" w:rsidRDefault="00B87264" w:rsidP="00B87264">
      <w:pPr>
        <w:spacing w:after="0"/>
        <w:rPr>
          <w:b/>
          <w:sz w:val="24"/>
          <w:szCs w:val="24"/>
          <w:u w:val="single"/>
        </w:rPr>
      </w:pPr>
      <w:r>
        <w:rPr>
          <w:b/>
          <w:sz w:val="24"/>
          <w:szCs w:val="24"/>
          <w:u w:val="single"/>
        </w:rPr>
        <w:t>PROPERTY</w:t>
      </w:r>
    </w:p>
    <w:p w14:paraId="633A8C5F" w14:textId="46FA1215" w:rsidR="00B87264" w:rsidRDefault="00B87264" w:rsidP="00B87264">
      <w:pPr>
        <w:spacing w:after="0"/>
        <w:rPr>
          <w:b/>
          <w:sz w:val="24"/>
          <w:szCs w:val="24"/>
        </w:rPr>
      </w:pPr>
      <w:r>
        <w:rPr>
          <w:b/>
          <w:sz w:val="24"/>
          <w:szCs w:val="24"/>
        </w:rPr>
        <w:t>Location:</w:t>
      </w:r>
      <w:r>
        <w:rPr>
          <w:b/>
          <w:sz w:val="24"/>
          <w:szCs w:val="24"/>
        </w:rPr>
        <w:tab/>
        <w:t>23 Kibbe Farm Rd.</w:t>
      </w:r>
    </w:p>
    <w:p w14:paraId="582807C7" w14:textId="77777777" w:rsidR="00B87264" w:rsidRDefault="00B87264" w:rsidP="00B87264">
      <w:pPr>
        <w:spacing w:after="0"/>
        <w:rPr>
          <w:b/>
          <w:sz w:val="24"/>
          <w:szCs w:val="24"/>
        </w:rPr>
      </w:pPr>
    </w:p>
    <w:p w14:paraId="12BF5362" w14:textId="77777777" w:rsidR="00B87264" w:rsidRDefault="00B87264" w:rsidP="00B87264">
      <w:pPr>
        <w:spacing w:after="0"/>
        <w:rPr>
          <w:b/>
          <w:sz w:val="24"/>
          <w:szCs w:val="24"/>
        </w:rPr>
      </w:pPr>
      <w:r>
        <w:rPr>
          <w:b/>
          <w:sz w:val="24"/>
          <w:szCs w:val="24"/>
        </w:rPr>
        <w:t>Hearing Date:  May 25, 2022</w:t>
      </w:r>
    </w:p>
    <w:p w14:paraId="50EE9444" w14:textId="77777777" w:rsidR="00B87264" w:rsidRDefault="00B87264" w:rsidP="00B87264">
      <w:pPr>
        <w:spacing w:after="0"/>
        <w:rPr>
          <w:b/>
          <w:sz w:val="24"/>
          <w:szCs w:val="24"/>
        </w:rPr>
      </w:pPr>
    </w:p>
    <w:p w14:paraId="6BBAE159" w14:textId="16F6CF98" w:rsidR="00B87264" w:rsidRDefault="00B87264" w:rsidP="00B87264">
      <w:pPr>
        <w:spacing w:after="0"/>
        <w:rPr>
          <w:sz w:val="24"/>
          <w:szCs w:val="24"/>
        </w:rPr>
      </w:pPr>
      <w:r>
        <w:rPr>
          <w:sz w:val="24"/>
          <w:szCs w:val="24"/>
        </w:rPr>
        <w:t xml:space="preserve">Ken Kowalewitz and Jenn Bunker submitted an application on April 26, 2022 requesting a setback waiver per Sec. 305 to add a second floor to a pre-existing, non-conforming detached garage at 23 Kibbe Farm Rd.  Per Section 805 of the South Hero Development Regulations, a warning for the public hearing appeared in the May 4, 2022 issue of the Islander and was posted in the Town Office, the Post Office, and the Town Library, and abutters to the property were notified.  A hearing was held on May 25, 2022.  A list of those present and participating in the hearings is included in the minutes.  </w:t>
      </w:r>
    </w:p>
    <w:p w14:paraId="7B63FBB4" w14:textId="77777777" w:rsidR="00B87264" w:rsidRDefault="00B87264" w:rsidP="00B87264">
      <w:pPr>
        <w:spacing w:after="0"/>
        <w:rPr>
          <w:sz w:val="24"/>
          <w:szCs w:val="24"/>
        </w:rPr>
      </w:pPr>
    </w:p>
    <w:p w14:paraId="45BC29A4" w14:textId="77777777" w:rsidR="00B87264" w:rsidRDefault="00B87264" w:rsidP="00B87264">
      <w:pPr>
        <w:spacing w:after="0"/>
        <w:rPr>
          <w:b/>
          <w:sz w:val="24"/>
          <w:szCs w:val="24"/>
        </w:rPr>
      </w:pPr>
      <w:r>
        <w:rPr>
          <w:b/>
          <w:sz w:val="24"/>
          <w:szCs w:val="24"/>
        </w:rPr>
        <w:t>During the course of the hearing, the following exhibits were submitted:</w:t>
      </w:r>
    </w:p>
    <w:p w14:paraId="5E965F27" w14:textId="77777777" w:rsidR="00B87264" w:rsidRDefault="00B87264" w:rsidP="00B87264">
      <w:pPr>
        <w:spacing w:after="0"/>
        <w:rPr>
          <w:b/>
          <w:sz w:val="24"/>
          <w:szCs w:val="24"/>
        </w:rPr>
      </w:pPr>
    </w:p>
    <w:p w14:paraId="49CD4E8F" w14:textId="77777777" w:rsidR="00B87264" w:rsidRDefault="00B87264" w:rsidP="00B87264">
      <w:pPr>
        <w:pStyle w:val="ListParagraph"/>
        <w:numPr>
          <w:ilvl w:val="0"/>
          <w:numId w:val="1"/>
        </w:numPr>
        <w:spacing w:after="0"/>
        <w:rPr>
          <w:sz w:val="24"/>
          <w:szCs w:val="24"/>
        </w:rPr>
      </w:pPr>
      <w:r>
        <w:rPr>
          <w:sz w:val="24"/>
          <w:szCs w:val="24"/>
        </w:rPr>
        <w:t>Town of South Hero Development Regulations, effective March 30, 2020</w:t>
      </w:r>
    </w:p>
    <w:p w14:paraId="25EDF687" w14:textId="77777777" w:rsidR="0051114A" w:rsidRDefault="0051114A" w:rsidP="0051114A">
      <w:pPr>
        <w:pStyle w:val="ListParagraph"/>
        <w:numPr>
          <w:ilvl w:val="0"/>
          <w:numId w:val="1"/>
        </w:numPr>
        <w:spacing w:after="0"/>
        <w:rPr>
          <w:sz w:val="24"/>
          <w:szCs w:val="24"/>
        </w:rPr>
      </w:pPr>
      <w:r>
        <w:rPr>
          <w:sz w:val="24"/>
          <w:szCs w:val="24"/>
        </w:rPr>
        <w:t>Setback Waiver Application, dated and rec’d April 26, 2022.</w:t>
      </w:r>
    </w:p>
    <w:p w14:paraId="351759DB" w14:textId="77777777" w:rsidR="0051114A" w:rsidRDefault="0051114A" w:rsidP="0051114A">
      <w:pPr>
        <w:pStyle w:val="ListParagraph"/>
        <w:numPr>
          <w:ilvl w:val="0"/>
          <w:numId w:val="1"/>
        </w:numPr>
        <w:spacing w:after="0"/>
        <w:rPr>
          <w:sz w:val="24"/>
          <w:szCs w:val="24"/>
        </w:rPr>
      </w:pPr>
      <w:r w:rsidRPr="00A14AB3">
        <w:rPr>
          <w:sz w:val="24"/>
          <w:szCs w:val="24"/>
        </w:rPr>
        <w:t>Site Map of Kowalewitz/Bunker lot with distances to the lake and south boundary</w:t>
      </w:r>
      <w:r>
        <w:rPr>
          <w:sz w:val="24"/>
          <w:szCs w:val="24"/>
        </w:rPr>
        <w:t>, no date; rec’d April 26, 2022.</w:t>
      </w:r>
    </w:p>
    <w:p w14:paraId="5BDF04F8" w14:textId="77777777" w:rsidR="0051114A" w:rsidRDefault="0051114A" w:rsidP="0051114A">
      <w:pPr>
        <w:pStyle w:val="ListParagraph"/>
        <w:numPr>
          <w:ilvl w:val="0"/>
          <w:numId w:val="1"/>
        </w:numPr>
        <w:spacing w:after="0"/>
        <w:rPr>
          <w:sz w:val="24"/>
          <w:szCs w:val="24"/>
        </w:rPr>
      </w:pPr>
      <w:r>
        <w:rPr>
          <w:sz w:val="24"/>
          <w:szCs w:val="24"/>
        </w:rPr>
        <w:t>Elevations, floor plans, perspective views, and building sections by Weiman Lamphere Architects, dated April 4, 2022; rec’d April 26, 2022.</w:t>
      </w:r>
    </w:p>
    <w:p w14:paraId="15CE72D7" w14:textId="77777777" w:rsidR="0051114A" w:rsidRDefault="0051114A" w:rsidP="0051114A">
      <w:pPr>
        <w:pStyle w:val="ListParagraph"/>
        <w:numPr>
          <w:ilvl w:val="0"/>
          <w:numId w:val="1"/>
        </w:numPr>
        <w:spacing w:after="0"/>
        <w:rPr>
          <w:sz w:val="24"/>
          <w:szCs w:val="24"/>
        </w:rPr>
      </w:pPr>
      <w:r>
        <w:rPr>
          <w:sz w:val="24"/>
          <w:szCs w:val="24"/>
        </w:rPr>
        <w:lastRenderedPageBreak/>
        <w:t>Applicant’s narrative, dated and received April 28, 2022.</w:t>
      </w:r>
    </w:p>
    <w:p w14:paraId="2C18664B" w14:textId="77777777" w:rsidR="0051114A" w:rsidRDefault="0051114A" w:rsidP="0051114A">
      <w:pPr>
        <w:pStyle w:val="ListParagraph"/>
        <w:numPr>
          <w:ilvl w:val="0"/>
          <w:numId w:val="1"/>
        </w:numPr>
        <w:spacing w:after="0"/>
        <w:rPr>
          <w:sz w:val="24"/>
          <w:szCs w:val="24"/>
        </w:rPr>
      </w:pPr>
      <w:r>
        <w:rPr>
          <w:sz w:val="24"/>
          <w:szCs w:val="24"/>
        </w:rPr>
        <w:t>Photographs of existing structure to be replaced, pages 1-3 from email dated April 26, 2022.</w:t>
      </w:r>
    </w:p>
    <w:p w14:paraId="3F1909F6" w14:textId="77777777" w:rsidR="0051114A" w:rsidRDefault="0051114A" w:rsidP="0051114A">
      <w:pPr>
        <w:pStyle w:val="ListParagraph"/>
        <w:numPr>
          <w:ilvl w:val="0"/>
          <w:numId w:val="1"/>
        </w:numPr>
        <w:spacing w:after="0"/>
        <w:rPr>
          <w:sz w:val="24"/>
          <w:szCs w:val="24"/>
        </w:rPr>
      </w:pPr>
      <w:r>
        <w:rPr>
          <w:sz w:val="24"/>
          <w:szCs w:val="24"/>
        </w:rPr>
        <w:t>Warning ad, Abutters’ Notice, and Hearing Letter for May 25, 2022 DRB Setback Waiver Review.</w:t>
      </w:r>
    </w:p>
    <w:p w14:paraId="3E9FFD7B" w14:textId="76847B00" w:rsidR="0051114A" w:rsidRDefault="0051114A" w:rsidP="0051114A">
      <w:pPr>
        <w:pStyle w:val="ListParagraph"/>
        <w:numPr>
          <w:ilvl w:val="0"/>
          <w:numId w:val="1"/>
        </w:numPr>
        <w:spacing w:after="0"/>
        <w:rPr>
          <w:sz w:val="24"/>
          <w:szCs w:val="24"/>
        </w:rPr>
      </w:pPr>
      <w:r>
        <w:rPr>
          <w:sz w:val="24"/>
          <w:szCs w:val="24"/>
        </w:rPr>
        <w:t>Staff report for May 25, 2022 DRB hearing.</w:t>
      </w:r>
    </w:p>
    <w:p w14:paraId="536FB558" w14:textId="096D543E" w:rsidR="0051114A" w:rsidRDefault="0051114A" w:rsidP="0051114A">
      <w:pPr>
        <w:pStyle w:val="ListParagraph"/>
        <w:numPr>
          <w:ilvl w:val="0"/>
          <w:numId w:val="1"/>
        </w:numPr>
        <w:spacing w:after="0"/>
        <w:rPr>
          <w:sz w:val="24"/>
          <w:szCs w:val="24"/>
        </w:rPr>
      </w:pPr>
      <w:r>
        <w:rPr>
          <w:sz w:val="24"/>
          <w:szCs w:val="24"/>
        </w:rPr>
        <w:t>Draft minutes from the May 25, 2022 setback waiver hearing.</w:t>
      </w:r>
    </w:p>
    <w:p w14:paraId="4A8A8721" w14:textId="77777777" w:rsidR="00B87264" w:rsidRDefault="00B87264" w:rsidP="00B87264">
      <w:pPr>
        <w:spacing w:after="0"/>
        <w:rPr>
          <w:sz w:val="24"/>
          <w:szCs w:val="24"/>
        </w:rPr>
      </w:pPr>
    </w:p>
    <w:p w14:paraId="3F6ED208" w14:textId="753E687B" w:rsidR="00B87264" w:rsidRDefault="00B87264" w:rsidP="00B87264">
      <w:pPr>
        <w:spacing w:after="0"/>
        <w:rPr>
          <w:b/>
          <w:sz w:val="24"/>
          <w:szCs w:val="24"/>
        </w:rPr>
      </w:pPr>
      <w:r>
        <w:rPr>
          <w:sz w:val="24"/>
          <w:szCs w:val="24"/>
        </w:rPr>
        <w:t xml:space="preserve">Based on the applications, supporting documents, and testimony of </w:t>
      </w:r>
      <w:r w:rsidR="0051114A">
        <w:rPr>
          <w:sz w:val="24"/>
          <w:szCs w:val="24"/>
        </w:rPr>
        <w:t>Ken Kowalewitz and Jenn Bunker</w:t>
      </w:r>
      <w:r>
        <w:rPr>
          <w:sz w:val="24"/>
          <w:szCs w:val="24"/>
        </w:rPr>
        <w:t xml:space="preserve">, </w:t>
      </w:r>
      <w:r>
        <w:rPr>
          <w:b/>
          <w:sz w:val="24"/>
          <w:szCs w:val="24"/>
        </w:rPr>
        <w:t>the Development Review Board makes the following Findings and enters the following decision:</w:t>
      </w:r>
    </w:p>
    <w:p w14:paraId="197C5CF8" w14:textId="77777777" w:rsidR="00B87264" w:rsidRDefault="00B87264" w:rsidP="00B87264">
      <w:pPr>
        <w:spacing w:after="0"/>
        <w:rPr>
          <w:b/>
          <w:sz w:val="24"/>
          <w:szCs w:val="24"/>
        </w:rPr>
      </w:pPr>
    </w:p>
    <w:p w14:paraId="53074453" w14:textId="77777777" w:rsidR="00B87264" w:rsidRDefault="00B87264" w:rsidP="00B87264">
      <w:pPr>
        <w:spacing w:after="0"/>
        <w:rPr>
          <w:sz w:val="24"/>
          <w:szCs w:val="24"/>
        </w:rPr>
      </w:pPr>
      <w:r>
        <w:rPr>
          <w:b/>
          <w:sz w:val="24"/>
          <w:szCs w:val="24"/>
        </w:rPr>
        <w:t xml:space="preserve">Findings: </w:t>
      </w:r>
    </w:p>
    <w:p w14:paraId="58D500C3" w14:textId="103877B2" w:rsidR="00B87264" w:rsidRDefault="0051114A" w:rsidP="00B87264">
      <w:pPr>
        <w:pStyle w:val="ListParagraph"/>
        <w:numPr>
          <w:ilvl w:val="0"/>
          <w:numId w:val="2"/>
        </w:numPr>
        <w:spacing w:after="0"/>
        <w:rPr>
          <w:sz w:val="24"/>
          <w:szCs w:val="24"/>
        </w:rPr>
      </w:pPr>
      <w:r>
        <w:rPr>
          <w:sz w:val="24"/>
          <w:szCs w:val="24"/>
        </w:rPr>
        <w:t>23 Kib</w:t>
      </w:r>
      <w:r w:rsidR="005C3F03">
        <w:rPr>
          <w:sz w:val="24"/>
          <w:szCs w:val="24"/>
        </w:rPr>
        <w:t>b</w:t>
      </w:r>
      <w:r>
        <w:rPr>
          <w:sz w:val="24"/>
          <w:szCs w:val="24"/>
        </w:rPr>
        <w:t>e Farm Rd.</w:t>
      </w:r>
      <w:r w:rsidR="00B87264">
        <w:rPr>
          <w:sz w:val="24"/>
          <w:szCs w:val="24"/>
        </w:rPr>
        <w:t xml:space="preserve"> is a </w:t>
      </w:r>
      <w:r w:rsidR="00A04CAA">
        <w:rPr>
          <w:sz w:val="24"/>
          <w:szCs w:val="24"/>
        </w:rPr>
        <w:t>1.38</w:t>
      </w:r>
      <w:r w:rsidR="00B87264">
        <w:rPr>
          <w:sz w:val="24"/>
          <w:szCs w:val="24"/>
        </w:rPr>
        <w:t xml:space="preserve">-acre </w:t>
      </w:r>
      <w:r>
        <w:rPr>
          <w:sz w:val="24"/>
          <w:szCs w:val="24"/>
        </w:rPr>
        <w:t>lakefront lot on Keeler Bay.  The lot is in the Shoreland Zoning District.</w:t>
      </w:r>
    </w:p>
    <w:p w14:paraId="615491B2" w14:textId="5F3B57DA" w:rsidR="00A04CAA" w:rsidRPr="00C121F7" w:rsidRDefault="00A04CAA" w:rsidP="00FA40D4">
      <w:pPr>
        <w:pStyle w:val="ListParagraph"/>
        <w:numPr>
          <w:ilvl w:val="0"/>
          <w:numId w:val="2"/>
        </w:numPr>
        <w:spacing w:after="0"/>
        <w:rPr>
          <w:sz w:val="24"/>
          <w:szCs w:val="24"/>
        </w:rPr>
      </w:pPr>
      <w:r w:rsidRPr="00C121F7">
        <w:rPr>
          <w:sz w:val="24"/>
          <w:szCs w:val="24"/>
        </w:rPr>
        <w:t xml:space="preserve">The lot includes a dwelling and </w:t>
      </w:r>
      <w:r w:rsidR="000218E8">
        <w:rPr>
          <w:sz w:val="24"/>
          <w:szCs w:val="24"/>
        </w:rPr>
        <w:t xml:space="preserve">a </w:t>
      </w:r>
      <w:r w:rsidR="00C121F7" w:rsidRPr="00C121F7">
        <w:rPr>
          <w:sz w:val="24"/>
          <w:szCs w:val="24"/>
        </w:rPr>
        <w:t>24’x24’ two</w:t>
      </w:r>
      <w:r w:rsidR="00EC2C70" w:rsidRPr="00C121F7">
        <w:rPr>
          <w:sz w:val="24"/>
          <w:szCs w:val="24"/>
        </w:rPr>
        <w:t xml:space="preserve">-bay </w:t>
      </w:r>
      <w:r w:rsidRPr="00C121F7">
        <w:rPr>
          <w:sz w:val="24"/>
          <w:szCs w:val="24"/>
        </w:rPr>
        <w:t>garage</w:t>
      </w:r>
      <w:r w:rsidR="0047512D">
        <w:rPr>
          <w:sz w:val="24"/>
          <w:szCs w:val="24"/>
        </w:rPr>
        <w:t xml:space="preserve">. </w:t>
      </w:r>
      <w:r w:rsidRPr="00C121F7">
        <w:rPr>
          <w:sz w:val="24"/>
          <w:szCs w:val="24"/>
        </w:rPr>
        <w:t xml:space="preserve"> </w:t>
      </w:r>
      <w:r w:rsidR="00C121F7" w:rsidRPr="00C121F7">
        <w:rPr>
          <w:sz w:val="24"/>
          <w:szCs w:val="24"/>
        </w:rPr>
        <w:t>The garage is attached to a pre-existing, non-conforming</w:t>
      </w:r>
      <w:r w:rsidR="0047512D">
        <w:rPr>
          <w:sz w:val="24"/>
          <w:szCs w:val="24"/>
        </w:rPr>
        <w:t xml:space="preserve"> </w:t>
      </w:r>
      <w:r w:rsidR="0084499F">
        <w:rPr>
          <w:sz w:val="24"/>
          <w:szCs w:val="24"/>
        </w:rPr>
        <w:t>(</w:t>
      </w:r>
      <w:r w:rsidR="0047512D">
        <w:rPr>
          <w:sz w:val="24"/>
          <w:szCs w:val="24"/>
        </w:rPr>
        <w:t>to the south boundary)</w:t>
      </w:r>
      <w:r w:rsidR="00C121F7" w:rsidRPr="00C121F7">
        <w:rPr>
          <w:sz w:val="24"/>
          <w:szCs w:val="24"/>
        </w:rPr>
        <w:t xml:space="preserve"> barn by a breezeway.  The garage</w:t>
      </w:r>
      <w:r w:rsidR="00C121F7">
        <w:rPr>
          <w:sz w:val="24"/>
          <w:szCs w:val="24"/>
        </w:rPr>
        <w:t xml:space="preserve"> and dwelling</w:t>
      </w:r>
      <w:r w:rsidRPr="00C121F7">
        <w:rPr>
          <w:sz w:val="24"/>
          <w:szCs w:val="24"/>
        </w:rPr>
        <w:t xml:space="preserve"> are </w:t>
      </w:r>
      <w:r w:rsidR="001625A3" w:rsidRPr="00C121F7">
        <w:rPr>
          <w:sz w:val="24"/>
          <w:szCs w:val="24"/>
        </w:rPr>
        <w:t xml:space="preserve">both </w:t>
      </w:r>
      <w:r w:rsidRPr="00C121F7">
        <w:rPr>
          <w:sz w:val="24"/>
          <w:szCs w:val="24"/>
        </w:rPr>
        <w:t>non-conforming to the lake.</w:t>
      </w:r>
      <w:r w:rsidR="001625A3" w:rsidRPr="00C121F7">
        <w:rPr>
          <w:sz w:val="24"/>
          <w:szCs w:val="24"/>
        </w:rPr>
        <w:t xml:space="preserve">  Both structures are approx. 40 feet above the </w:t>
      </w:r>
      <w:r w:rsidR="00D15193" w:rsidRPr="00C121F7">
        <w:rPr>
          <w:sz w:val="24"/>
          <w:szCs w:val="24"/>
        </w:rPr>
        <w:t>water.</w:t>
      </w:r>
    </w:p>
    <w:p w14:paraId="62DFC76E" w14:textId="39E88DCA" w:rsidR="00FF0319" w:rsidRDefault="00C121F7" w:rsidP="00B87264">
      <w:pPr>
        <w:pStyle w:val="ListParagraph"/>
        <w:numPr>
          <w:ilvl w:val="0"/>
          <w:numId w:val="2"/>
        </w:numPr>
        <w:spacing w:after="0"/>
        <w:rPr>
          <w:sz w:val="24"/>
          <w:szCs w:val="24"/>
        </w:rPr>
      </w:pPr>
      <w:r>
        <w:rPr>
          <w:sz w:val="24"/>
          <w:szCs w:val="24"/>
        </w:rPr>
        <w:t>The sin</w:t>
      </w:r>
      <w:r w:rsidR="00A04CAA">
        <w:rPr>
          <w:sz w:val="24"/>
          <w:szCs w:val="24"/>
        </w:rPr>
        <w:t xml:space="preserve">gle-story garage is 15 feet from the south boundary and </w:t>
      </w:r>
      <w:r w:rsidR="0047512D">
        <w:rPr>
          <w:sz w:val="24"/>
          <w:szCs w:val="24"/>
        </w:rPr>
        <w:t xml:space="preserve">extends 5 feet into the </w:t>
      </w:r>
      <w:r w:rsidR="00A04CAA">
        <w:rPr>
          <w:sz w:val="24"/>
          <w:szCs w:val="24"/>
        </w:rPr>
        <w:t>7</w:t>
      </w:r>
      <w:r w:rsidR="0084499F">
        <w:rPr>
          <w:sz w:val="24"/>
          <w:szCs w:val="24"/>
        </w:rPr>
        <w:t>5</w:t>
      </w:r>
      <w:r w:rsidR="0047512D">
        <w:rPr>
          <w:sz w:val="24"/>
          <w:szCs w:val="24"/>
        </w:rPr>
        <w:t>-ft. setback</w:t>
      </w:r>
      <w:r w:rsidR="00A04CAA">
        <w:rPr>
          <w:sz w:val="24"/>
          <w:szCs w:val="24"/>
        </w:rPr>
        <w:t xml:space="preserve"> from the lake.</w:t>
      </w:r>
      <w:r w:rsidR="001625A3">
        <w:rPr>
          <w:sz w:val="24"/>
          <w:szCs w:val="24"/>
        </w:rPr>
        <w:t xml:space="preserve">  The building</w:t>
      </w:r>
      <w:r w:rsidR="00D15193">
        <w:rPr>
          <w:sz w:val="24"/>
          <w:szCs w:val="24"/>
        </w:rPr>
        <w:t xml:space="preserve"> has no eaves on the south side. </w:t>
      </w:r>
    </w:p>
    <w:p w14:paraId="2E59BE58" w14:textId="21E0127D" w:rsidR="0051114A" w:rsidRDefault="00FF0319" w:rsidP="00B87264">
      <w:pPr>
        <w:pStyle w:val="ListParagraph"/>
        <w:numPr>
          <w:ilvl w:val="0"/>
          <w:numId w:val="2"/>
        </w:numPr>
        <w:spacing w:after="0"/>
        <w:rPr>
          <w:sz w:val="24"/>
          <w:szCs w:val="24"/>
        </w:rPr>
      </w:pPr>
      <w:r>
        <w:rPr>
          <w:sz w:val="24"/>
          <w:szCs w:val="24"/>
        </w:rPr>
        <w:t xml:space="preserve">The </w:t>
      </w:r>
      <w:r w:rsidR="005E58E4">
        <w:rPr>
          <w:sz w:val="24"/>
          <w:szCs w:val="24"/>
        </w:rPr>
        <w:t xml:space="preserve">garage doors are on the north side of the structure.  </w:t>
      </w:r>
      <w:r w:rsidR="00232DC6">
        <w:rPr>
          <w:sz w:val="24"/>
          <w:szCs w:val="24"/>
        </w:rPr>
        <w:t>A</w:t>
      </w:r>
      <w:r w:rsidR="005E58E4">
        <w:rPr>
          <w:sz w:val="24"/>
          <w:szCs w:val="24"/>
        </w:rPr>
        <w:t xml:space="preserve"> retaining wall </w:t>
      </w:r>
      <w:r w:rsidR="00232DC6">
        <w:rPr>
          <w:sz w:val="24"/>
          <w:szCs w:val="24"/>
        </w:rPr>
        <w:t>north of the garage drops toward the house.</w:t>
      </w:r>
      <w:r w:rsidR="005E58E4">
        <w:rPr>
          <w:sz w:val="24"/>
          <w:szCs w:val="24"/>
        </w:rPr>
        <w:t xml:space="preserve">  The house sits lower on the lot than the garage.</w:t>
      </w:r>
      <w:r w:rsidR="00D15193">
        <w:rPr>
          <w:sz w:val="24"/>
          <w:szCs w:val="24"/>
        </w:rPr>
        <w:t xml:space="preserve"> </w:t>
      </w:r>
    </w:p>
    <w:p w14:paraId="15CDB57B" w14:textId="77777777" w:rsidR="00286B44" w:rsidRDefault="00D15193" w:rsidP="00286B44">
      <w:pPr>
        <w:pStyle w:val="ListParagraph"/>
        <w:numPr>
          <w:ilvl w:val="0"/>
          <w:numId w:val="2"/>
        </w:numPr>
        <w:spacing w:after="0"/>
        <w:rPr>
          <w:sz w:val="24"/>
          <w:szCs w:val="24"/>
        </w:rPr>
      </w:pPr>
      <w:r>
        <w:rPr>
          <w:sz w:val="24"/>
          <w:szCs w:val="24"/>
        </w:rPr>
        <w:t>The Applicant proposes to replace the current garage with a 2-story</w:t>
      </w:r>
      <w:r w:rsidR="00EC2C70">
        <w:rPr>
          <w:sz w:val="24"/>
          <w:szCs w:val="24"/>
        </w:rPr>
        <w:t xml:space="preserve"> garage</w:t>
      </w:r>
      <w:r w:rsidR="00286B44">
        <w:rPr>
          <w:sz w:val="24"/>
          <w:szCs w:val="24"/>
        </w:rPr>
        <w:t xml:space="preserve"> on the same footprint on the west and north sides.  The architectural drawings of the replacement garage show the eaves extending into the 15-ft. setback to the south boundary.</w:t>
      </w:r>
    </w:p>
    <w:p w14:paraId="27060986" w14:textId="17C0AF79" w:rsidR="00286B44" w:rsidRDefault="00286B44" w:rsidP="00286B44">
      <w:pPr>
        <w:pStyle w:val="ListParagraph"/>
        <w:numPr>
          <w:ilvl w:val="0"/>
          <w:numId w:val="2"/>
        </w:numPr>
        <w:spacing w:after="0"/>
        <w:rPr>
          <w:sz w:val="24"/>
          <w:szCs w:val="24"/>
        </w:rPr>
      </w:pPr>
      <w:r>
        <w:rPr>
          <w:sz w:val="24"/>
          <w:szCs w:val="24"/>
        </w:rPr>
        <w:t>The second floor will add</w:t>
      </w:r>
      <w:r w:rsidR="00EC2C70">
        <w:rPr>
          <w:sz w:val="24"/>
          <w:szCs w:val="24"/>
        </w:rPr>
        <w:t xml:space="preserve"> storage space</w:t>
      </w:r>
      <w:r w:rsidR="00AA0CF1">
        <w:rPr>
          <w:sz w:val="24"/>
          <w:szCs w:val="24"/>
        </w:rPr>
        <w:t xml:space="preserve"> (there is little storage space in the 1905 home—no basement)</w:t>
      </w:r>
      <w:r w:rsidR="00EC2C70">
        <w:rPr>
          <w:sz w:val="24"/>
          <w:szCs w:val="24"/>
        </w:rPr>
        <w:t xml:space="preserve">.  </w:t>
      </w:r>
    </w:p>
    <w:p w14:paraId="0F4381AF" w14:textId="75435C20" w:rsidR="00D15193" w:rsidRDefault="00EC2C70" w:rsidP="00B87264">
      <w:pPr>
        <w:pStyle w:val="ListParagraph"/>
        <w:numPr>
          <w:ilvl w:val="0"/>
          <w:numId w:val="2"/>
        </w:numPr>
        <w:spacing w:after="0"/>
        <w:rPr>
          <w:sz w:val="24"/>
          <w:szCs w:val="24"/>
        </w:rPr>
      </w:pPr>
      <w:r>
        <w:rPr>
          <w:sz w:val="24"/>
          <w:szCs w:val="24"/>
        </w:rPr>
        <w:t>The new structure</w:t>
      </w:r>
      <w:r w:rsidR="005E58E4">
        <w:rPr>
          <w:sz w:val="24"/>
          <w:szCs w:val="24"/>
        </w:rPr>
        <w:t xml:space="preserve"> </w:t>
      </w:r>
      <w:r>
        <w:rPr>
          <w:sz w:val="24"/>
          <w:szCs w:val="24"/>
        </w:rPr>
        <w:t xml:space="preserve">will </w:t>
      </w:r>
      <w:r w:rsidR="002F25C0">
        <w:rPr>
          <w:sz w:val="24"/>
          <w:szCs w:val="24"/>
        </w:rPr>
        <w:t xml:space="preserve">expand into the </w:t>
      </w:r>
      <w:r w:rsidR="009852F0">
        <w:rPr>
          <w:sz w:val="24"/>
          <w:szCs w:val="24"/>
        </w:rPr>
        <w:t xml:space="preserve">conforming </w:t>
      </w:r>
      <w:r w:rsidR="002F25C0">
        <w:rPr>
          <w:sz w:val="24"/>
          <w:szCs w:val="24"/>
        </w:rPr>
        <w:t>breezeway area</w:t>
      </w:r>
      <w:r w:rsidR="00AA0CF1">
        <w:rPr>
          <w:sz w:val="24"/>
          <w:szCs w:val="24"/>
        </w:rPr>
        <w:t>, adding stairway access to the second floors of the garage and barn.</w:t>
      </w:r>
      <w:r w:rsidR="005E58E4">
        <w:rPr>
          <w:sz w:val="24"/>
          <w:szCs w:val="24"/>
        </w:rPr>
        <w:t xml:space="preserve">  An additional expansion, with a third garage bay, will extend</w:t>
      </w:r>
      <w:r w:rsidR="009852F0">
        <w:rPr>
          <w:sz w:val="24"/>
          <w:szCs w:val="24"/>
        </w:rPr>
        <w:t xml:space="preserve"> north from the existing barn into conforming space.</w:t>
      </w:r>
      <w:r w:rsidR="0047512D">
        <w:rPr>
          <w:sz w:val="24"/>
          <w:szCs w:val="24"/>
        </w:rPr>
        <w:t xml:space="preserve">  </w:t>
      </w:r>
    </w:p>
    <w:p w14:paraId="29C4F228" w14:textId="123B2621" w:rsidR="001A6578" w:rsidRDefault="00385B85" w:rsidP="00B87264">
      <w:pPr>
        <w:pStyle w:val="ListParagraph"/>
        <w:numPr>
          <w:ilvl w:val="0"/>
          <w:numId w:val="2"/>
        </w:numPr>
        <w:spacing w:after="0"/>
        <w:rPr>
          <w:sz w:val="24"/>
          <w:szCs w:val="24"/>
        </w:rPr>
      </w:pPr>
      <w:r>
        <w:rPr>
          <w:sz w:val="24"/>
          <w:szCs w:val="24"/>
        </w:rPr>
        <w:t>The proposed second floor of the replacement ga</w:t>
      </w:r>
      <w:r w:rsidR="00232DC6">
        <w:rPr>
          <w:sz w:val="24"/>
          <w:szCs w:val="24"/>
        </w:rPr>
        <w:t>rage will add</w:t>
      </w:r>
      <w:r>
        <w:rPr>
          <w:sz w:val="24"/>
          <w:szCs w:val="24"/>
        </w:rPr>
        <w:t xml:space="preserve"> 120sf of non-conforming</w:t>
      </w:r>
      <w:r w:rsidR="00232DC6">
        <w:rPr>
          <w:sz w:val="24"/>
          <w:szCs w:val="24"/>
        </w:rPr>
        <w:t xml:space="preserve"> space, of which </w:t>
      </w:r>
      <w:r w:rsidR="00892B16">
        <w:rPr>
          <w:sz w:val="24"/>
          <w:szCs w:val="24"/>
        </w:rPr>
        <w:t xml:space="preserve">83sf </w:t>
      </w:r>
      <w:r w:rsidR="00232DC6">
        <w:rPr>
          <w:sz w:val="24"/>
          <w:szCs w:val="24"/>
        </w:rPr>
        <w:t>of useable space will be beneath the slope of the roof</w:t>
      </w:r>
      <w:r w:rsidR="00892B16">
        <w:rPr>
          <w:sz w:val="24"/>
          <w:szCs w:val="24"/>
        </w:rPr>
        <w:t>.</w:t>
      </w:r>
    </w:p>
    <w:p w14:paraId="5E96717A" w14:textId="7AB0630E" w:rsidR="005E58E4" w:rsidRDefault="000218E8" w:rsidP="00B87264">
      <w:pPr>
        <w:pStyle w:val="ListParagraph"/>
        <w:numPr>
          <w:ilvl w:val="0"/>
          <w:numId w:val="2"/>
        </w:numPr>
        <w:spacing w:after="0"/>
        <w:rPr>
          <w:sz w:val="24"/>
          <w:szCs w:val="24"/>
        </w:rPr>
      </w:pPr>
      <w:r>
        <w:rPr>
          <w:sz w:val="24"/>
          <w:szCs w:val="24"/>
        </w:rPr>
        <w:t>The garage/barn is out of sight from all directions, including the lake due to tree coverage.</w:t>
      </w:r>
    </w:p>
    <w:p w14:paraId="5BD4F78F" w14:textId="1DCDC15D" w:rsidR="00E20C37" w:rsidRDefault="00E20C37" w:rsidP="00B87264">
      <w:pPr>
        <w:pStyle w:val="ListParagraph"/>
        <w:numPr>
          <w:ilvl w:val="0"/>
          <w:numId w:val="2"/>
        </w:numPr>
        <w:spacing w:after="0"/>
        <w:rPr>
          <w:sz w:val="24"/>
          <w:szCs w:val="24"/>
        </w:rPr>
      </w:pPr>
      <w:r>
        <w:rPr>
          <w:sz w:val="24"/>
          <w:szCs w:val="24"/>
        </w:rPr>
        <w:t>Abutting neighbors were notified of the proposal and there were no complaints.</w:t>
      </w:r>
    </w:p>
    <w:p w14:paraId="595F93EA" w14:textId="5FECCE39" w:rsidR="00E20C37" w:rsidRPr="00940933" w:rsidRDefault="00E20C37" w:rsidP="00B87264">
      <w:pPr>
        <w:pStyle w:val="ListParagraph"/>
        <w:numPr>
          <w:ilvl w:val="0"/>
          <w:numId w:val="2"/>
        </w:numPr>
        <w:spacing w:after="0"/>
        <w:rPr>
          <w:sz w:val="24"/>
          <w:szCs w:val="24"/>
        </w:rPr>
      </w:pPr>
      <w:r>
        <w:rPr>
          <w:sz w:val="24"/>
          <w:szCs w:val="24"/>
        </w:rPr>
        <w:t>The Applicant asked that the Board consider adding the eave on the south side of the replacement garage to the waiver request.</w:t>
      </w:r>
    </w:p>
    <w:p w14:paraId="3B43CD42" w14:textId="797FBE89" w:rsidR="00B87264" w:rsidRDefault="00B87264" w:rsidP="00E20C37">
      <w:pPr>
        <w:pStyle w:val="ListParagraph"/>
        <w:spacing w:after="0"/>
        <w:ind w:left="630"/>
        <w:rPr>
          <w:sz w:val="24"/>
          <w:szCs w:val="24"/>
        </w:rPr>
      </w:pPr>
    </w:p>
    <w:p w14:paraId="204537C0" w14:textId="77777777" w:rsidR="00B87264" w:rsidRDefault="00B87264" w:rsidP="00B87264">
      <w:pPr>
        <w:spacing w:after="0"/>
        <w:ind w:left="360"/>
        <w:rPr>
          <w:sz w:val="24"/>
          <w:szCs w:val="24"/>
        </w:rPr>
      </w:pPr>
    </w:p>
    <w:p w14:paraId="1A7888D5" w14:textId="77777777" w:rsidR="00B87264" w:rsidRDefault="00B87264" w:rsidP="00B87264">
      <w:pPr>
        <w:spacing w:after="0"/>
        <w:rPr>
          <w:sz w:val="24"/>
          <w:szCs w:val="24"/>
        </w:rPr>
      </w:pPr>
      <w:r>
        <w:rPr>
          <w:sz w:val="24"/>
          <w:szCs w:val="24"/>
        </w:rPr>
        <w:t>DRB Chair Tim Maxham closed the hearing on May 25, 2022.</w:t>
      </w:r>
    </w:p>
    <w:p w14:paraId="1D26232E" w14:textId="77777777" w:rsidR="00B87264" w:rsidRDefault="00B87264" w:rsidP="00B87264">
      <w:pPr>
        <w:spacing w:after="0"/>
        <w:rPr>
          <w:sz w:val="24"/>
          <w:szCs w:val="24"/>
        </w:rPr>
      </w:pPr>
    </w:p>
    <w:p w14:paraId="5B206058" w14:textId="77777777" w:rsidR="00B87264" w:rsidRDefault="00B87264" w:rsidP="00B87264">
      <w:pPr>
        <w:spacing w:after="0"/>
        <w:rPr>
          <w:b/>
          <w:sz w:val="24"/>
          <w:szCs w:val="24"/>
        </w:rPr>
      </w:pPr>
      <w:r>
        <w:rPr>
          <w:b/>
          <w:sz w:val="24"/>
          <w:szCs w:val="24"/>
        </w:rPr>
        <w:t>Conclusions of Law:</w:t>
      </w:r>
    </w:p>
    <w:p w14:paraId="041CF87F" w14:textId="29943F5A" w:rsidR="00B87264" w:rsidRDefault="00B87264" w:rsidP="00B87264">
      <w:pPr>
        <w:pStyle w:val="ListParagraph"/>
        <w:numPr>
          <w:ilvl w:val="0"/>
          <w:numId w:val="3"/>
        </w:numPr>
        <w:spacing w:after="0"/>
        <w:rPr>
          <w:sz w:val="24"/>
          <w:szCs w:val="24"/>
        </w:rPr>
      </w:pPr>
      <w:r>
        <w:rPr>
          <w:sz w:val="24"/>
          <w:szCs w:val="24"/>
        </w:rPr>
        <w:t>Per Section 305 (Setback Waiver), structures in the Village and Shoreland Zoning Districts are eligible for setback waivers.</w:t>
      </w:r>
    </w:p>
    <w:p w14:paraId="538005F8" w14:textId="77777777" w:rsidR="00B87264" w:rsidRDefault="00B87264" w:rsidP="00B87264">
      <w:pPr>
        <w:pStyle w:val="ListParagraph"/>
        <w:spacing w:after="0"/>
        <w:rPr>
          <w:sz w:val="24"/>
          <w:szCs w:val="24"/>
        </w:rPr>
      </w:pPr>
    </w:p>
    <w:p w14:paraId="7171EC62" w14:textId="711B7924" w:rsidR="00B87264" w:rsidRDefault="00B87264" w:rsidP="00B87264">
      <w:pPr>
        <w:spacing w:after="0"/>
        <w:rPr>
          <w:sz w:val="24"/>
          <w:szCs w:val="24"/>
        </w:rPr>
      </w:pPr>
      <w:r>
        <w:rPr>
          <w:b/>
          <w:sz w:val="24"/>
          <w:szCs w:val="24"/>
        </w:rPr>
        <w:t xml:space="preserve">On June </w:t>
      </w:r>
      <w:r w:rsidR="0084499F">
        <w:rPr>
          <w:b/>
          <w:sz w:val="24"/>
          <w:szCs w:val="24"/>
        </w:rPr>
        <w:t>22</w:t>
      </w:r>
      <w:r>
        <w:rPr>
          <w:b/>
          <w:sz w:val="24"/>
          <w:szCs w:val="24"/>
        </w:rPr>
        <w:t>, 2022</w:t>
      </w:r>
      <w:r w:rsidR="00362F8E">
        <w:rPr>
          <w:b/>
          <w:sz w:val="24"/>
          <w:szCs w:val="24"/>
        </w:rPr>
        <w:t>,</w:t>
      </w:r>
      <w:r>
        <w:rPr>
          <w:b/>
          <w:sz w:val="24"/>
          <w:szCs w:val="24"/>
        </w:rPr>
        <w:t xml:space="preserve"> </w:t>
      </w:r>
      <w:r w:rsidR="00362F8E">
        <w:rPr>
          <w:b/>
          <w:sz w:val="24"/>
          <w:szCs w:val="24"/>
        </w:rPr>
        <w:t>S. Corbin</w:t>
      </w:r>
      <w:r>
        <w:rPr>
          <w:b/>
          <w:sz w:val="24"/>
          <w:szCs w:val="24"/>
        </w:rPr>
        <w:t xml:space="preserve"> moved to approve the application, with the findings of fact listed and with the following Conditions; </w:t>
      </w:r>
      <w:r w:rsidR="00362F8E">
        <w:rPr>
          <w:b/>
          <w:sz w:val="24"/>
          <w:szCs w:val="24"/>
        </w:rPr>
        <w:t>N. Hayward</w:t>
      </w:r>
      <w:r>
        <w:rPr>
          <w:b/>
          <w:sz w:val="24"/>
          <w:szCs w:val="24"/>
        </w:rPr>
        <w:t xml:space="preserve"> second. </w:t>
      </w:r>
      <w:r>
        <w:rPr>
          <w:sz w:val="24"/>
          <w:szCs w:val="24"/>
        </w:rPr>
        <w:t xml:space="preserve"> </w:t>
      </w:r>
      <w:r>
        <w:rPr>
          <w:b/>
          <w:sz w:val="24"/>
          <w:szCs w:val="24"/>
        </w:rPr>
        <w:t>Whereas, Final Approval was granted to the application with Conditions,</w:t>
      </w:r>
      <w:r>
        <w:rPr>
          <w:sz w:val="24"/>
          <w:szCs w:val="24"/>
        </w:rPr>
        <w:t xml:space="preserve"> with the following people voting in the affirmative:  T. Maxham; </w:t>
      </w:r>
      <w:r w:rsidR="001B094A">
        <w:rPr>
          <w:sz w:val="24"/>
          <w:szCs w:val="24"/>
        </w:rPr>
        <w:t xml:space="preserve">N. Hayward; </w:t>
      </w:r>
      <w:r>
        <w:rPr>
          <w:sz w:val="24"/>
          <w:szCs w:val="24"/>
        </w:rPr>
        <w:t>S. Corbin; E. Reid; and J. Brightwell.</w:t>
      </w:r>
    </w:p>
    <w:p w14:paraId="3A865E05" w14:textId="77777777" w:rsidR="00B87264" w:rsidRDefault="00B87264" w:rsidP="00B87264">
      <w:pPr>
        <w:spacing w:after="0"/>
        <w:rPr>
          <w:sz w:val="24"/>
          <w:szCs w:val="24"/>
        </w:rPr>
      </w:pPr>
    </w:p>
    <w:p w14:paraId="4FD1A761" w14:textId="77777777" w:rsidR="00B87264" w:rsidRDefault="00B87264" w:rsidP="00B87264">
      <w:pPr>
        <w:spacing w:after="0"/>
        <w:rPr>
          <w:sz w:val="24"/>
          <w:szCs w:val="24"/>
        </w:rPr>
      </w:pPr>
      <w:r>
        <w:rPr>
          <w:b/>
          <w:sz w:val="24"/>
          <w:szCs w:val="24"/>
        </w:rPr>
        <w:t>Conditions:</w:t>
      </w:r>
      <w:r>
        <w:rPr>
          <w:sz w:val="24"/>
          <w:szCs w:val="24"/>
        </w:rPr>
        <w:t xml:space="preserve">    </w:t>
      </w:r>
    </w:p>
    <w:p w14:paraId="390F0B9B" w14:textId="52324D32" w:rsidR="00B87264" w:rsidRDefault="00B87264" w:rsidP="00B87264">
      <w:pPr>
        <w:pStyle w:val="ListParagraph"/>
        <w:numPr>
          <w:ilvl w:val="0"/>
          <w:numId w:val="4"/>
        </w:numPr>
        <w:spacing w:after="0"/>
        <w:rPr>
          <w:sz w:val="24"/>
          <w:szCs w:val="24"/>
        </w:rPr>
      </w:pPr>
      <w:r>
        <w:rPr>
          <w:sz w:val="24"/>
          <w:szCs w:val="24"/>
        </w:rPr>
        <w:t>Applicants shall comply with all evidence as presented at the hearing or as amended by this decision.</w:t>
      </w:r>
    </w:p>
    <w:p w14:paraId="6EC85BF1" w14:textId="23E96A62" w:rsidR="00FC062E" w:rsidRDefault="005900C7" w:rsidP="00B87264">
      <w:pPr>
        <w:pStyle w:val="ListParagraph"/>
        <w:numPr>
          <w:ilvl w:val="0"/>
          <w:numId w:val="4"/>
        </w:numPr>
        <w:spacing w:after="0"/>
        <w:rPr>
          <w:sz w:val="24"/>
          <w:szCs w:val="24"/>
        </w:rPr>
      </w:pPr>
      <w:r>
        <w:rPr>
          <w:sz w:val="24"/>
          <w:szCs w:val="24"/>
        </w:rPr>
        <w:t xml:space="preserve">The Board grants </w:t>
      </w:r>
      <w:r w:rsidR="0075552D">
        <w:rPr>
          <w:sz w:val="24"/>
          <w:szCs w:val="24"/>
        </w:rPr>
        <w:t xml:space="preserve">a </w:t>
      </w:r>
      <w:r>
        <w:rPr>
          <w:sz w:val="24"/>
          <w:szCs w:val="24"/>
        </w:rPr>
        <w:t>waiver</w:t>
      </w:r>
      <w:r w:rsidR="0075552D">
        <w:rPr>
          <w:sz w:val="24"/>
          <w:szCs w:val="24"/>
        </w:rPr>
        <w:t xml:space="preserve"> to add a second floor onto the non-conforming garage within the existing footprint</w:t>
      </w:r>
      <w:r>
        <w:rPr>
          <w:sz w:val="24"/>
          <w:szCs w:val="24"/>
        </w:rPr>
        <w:t xml:space="preserve"> but requires that the building, including the eaves of the new structure, not </w:t>
      </w:r>
      <w:r w:rsidR="0075552D">
        <w:rPr>
          <w:sz w:val="24"/>
          <w:szCs w:val="24"/>
        </w:rPr>
        <w:t>encroach</w:t>
      </w:r>
      <w:r>
        <w:rPr>
          <w:sz w:val="24"/>
          <w:szCs w:val="24"/>
        </w:rPr>
        <w:t xml:space="preserve"> on the south setback.</w:t>
      </w:r>
    </w:p>
    <w:p w14:paraId="113D0B35" w14:textId="77777777" w:rsidR="00B87264" w:rsidRDefault="00B87264" w:rsidP="00B87264">
      <w:pPr>
        <w:pStyle w:val="ListParagraph"/>
        <w:numPr>
          <w:ilvl w:val="0"/>
          <w:numId w:val="4"/>
        </w:numPr>
        <w:spacing w:after="0"/>
        <w:rPr>
          <w:sz w:val="24"/>
          <w:szCs w:val="24"/>
        </w:rPr>
      </w:pPr>
      <w:r>
        <w:rPr>
          <w:sz w:val="24"/>
          <w:szCs w:val="24"/>
        </w:rPr>
        <w:t>The Town of South Hero’s responsibilities are limited to ensuring compliance with the approvals and permits issued by the Town of South Hero.  The Town accepts no responsibility for compliance with the conditions of any permits or approvals issued by any other entity.  The Town of South Hero will not be liable for the failure of the applicants to carry out their duties and responsibilities.</w:t>
      </w:r>
    </w:p>
    <w:p w14:paraId="6DE3B82F" w14:textId="77777777" w:rsidR="00B87264" w:rsidRDefault="00B87264" w:rsidP="00B87264">
      <w:pPr>
        <w:spacing w:after="0"/>
        <w:rPr>
          <w:sz w:val="24"/>
          <w:szCs w:val="24"/>
        </w:rPr>
      </w:pPr>
    </w:p>
    <w:p w14:paraId="541DCB4C" w14:textId="4B81D113" w:rsidR="00B87264" w:rsidRDefault="00B87264" w:rsidP="00B87264">
      <w:pPr>
        <w:spacing w:after="0"/>
        <w:rPr>
          <w:b/>
          <w:sz w:val="20"/>
          <w:szCs w:val="20"/>
        </w:rPr>
      </w:pPr>
      <w:r>
        <w:rPr>
          <w:sz w:val="24"/>
          <w:szCs w:val="24"/>
        </w:rPr>
        <w:t xml:space="preserve"> </w:t>
      </w:r>
      <w:r>
        <w:rPr>
          <w:b/>
          <w:sz w:val="28"/>
          <w:szCs w:val="28"/>
        </w:rPr>
        <w:t xml:space="preserve">    Dated: J</w:t>
      </w:r>
      <w:r w:rsidR="001B094A">
        <w:rPr>
          <w:b/>
          <w:sz w:val="28"/>
          <w:szCs w:val="28"/>
        </w:rPr>
        <w:t>une</w:t>
      </w:r>
      <w:r>
        <w:rPr>
          <w:b/>
          <w:sz w:val="28"/>
          <w:szCs w:val="28"/>
        </w:rPr>
        <w:t xml:space="preserve"> </w:t>
      </w:r>
      <w:r w:rsidR="004853B6">
        <w:rPr>
          <w:b/>
          <w:sz w:val="28"/>
          <w:szCs w:val="28"/>
        </w:rPr>
        <w:t>22</w:t>
      </w:r>
      <w:r>
        <w:rPr>
          <w:b/>
          <w:sz w:val="28"/>
          <w:szCs w:val="28"/>
        </w:rPr>
        <w:t>, 2022</w:t>
      </w:r>
    </w:p>
    <w:p w14:paraId="160D15ED" w14:textId="77777777" w:rsidR="00B87264" w:rsidRDefault="00B87264" w:rsidP="00B87264">
      <w:pPr>
        <w:spacing w:after="0"/>
        <w:rPr>
          <w:b/>
          <w:sz w:val="18"/>
          <w:szCs w:val="18"/>
        </w:rPr>
      </w:pPr>
    </w:p>
    <w:p w14:paraId="0F0EED7B" w14:textId="77777777" w:rsidR="00B87264" w:rsidRDefault="00B87264" w:rsidP="00B87264">
      <w:pPr>
        <w:spacing w:after="0"/>
        <w:rPr>
          <w:b/>
          <w:sz w:val="18"/>
          <w:szCs w:val="18"/>
        </w:rPr>
      </w:pPr>
    </w:p>
    <w:p w14:paraId="4AB94CFE" w14:textId="77777777" w:rsidR="00B87264" w:rsidRDefault="00B87264" w:rsidP="00B87264">
      <w:pPr>
        <w:spacing w:after="0"/>
        <w:rPr>
          <w:b/>
          <w:sz w:val="24"/>
          <w:szCs w:val="24"/>
        </w:rPr>
      </w:pPr>
      <w:r>
        <w:rPr>
          <w:b/>
          <w:sz w:val="24"/>
          <w:szCs w:val="24"/>
        </w:rPr>
        <w:t xml:space="preserve">           _________________________________________</w:t>
      </w:r>
    </w:p>
    <w:p w14:paraId="41CB86C9" w14:textId="77777777" w:rsidR="00B87264" w:rsidRDefault="00B87264" w:rsidP="00B87264">
      <w:pPr>
        <w:spacing w:after="0"/>
        <w:rPr>
          <w:b/>
          <w:sz w:val="20"/>
          <w:szCs w:val="20"/>
        </w:rPr>
      </w:pPr>
      <w:r>
        <w:rPr>
          <w:b/>
          <w:sz w:val="18"/>
          <w:szCs w:val="18"/>
        </w:rPr>
        <w:tab/>
      </w:r>
      <w:r>
        <w:rPr>
          <w:b/>
          <w:sz w:val="18"/>
          <w:szCs w:val="18"/>
        </w:rPr>
        <w:tab/>
      </w:r>
      <w:r>
        <w:rPr>
          <w:b/>
          <w:sz w:val="20"/>
          <w:szCs w:val="20"/>
        </w:rPr>
        <w:t>For the Development Review Board</w:t>
      </w:r>
    </w:p>
    <w:p w14:paraId="37FEB70B" w14:textId="77777777" w:rsidR="00B87264" w:rsidRDefault="00B87264" w:rsidP="00B87264">
      <w:pPr>
        <w:spacing w:after="0"/>
        <w:rPr>
          <w:b/>
          <w:sz w:val="18"/>
          <w:szCs w:val="18"/>
        </w:rPr>
      </w:pPr>
    </w:p>
    <w:p w14:paraId="41C0FBA9" w14:textId="77777777" w:rsidR="00B87264" w:rsidRDefault="00B87264" w:rsidP="00B87264">
      <w:pPr>
        <w:spacing w:after="0"/>
        <w:rPr>
          <w:sz w:val="20"/>
          <w:szCs w:val="20"/>
        </w:rPr>
      </w:pPr>
    </w:p>
    <w:p w14:paraId="238353FE" w14:textId="77777777" w:rsidR="00B87264" w:rsidRDefault="00B87264" w:rsidP="00B87264">
      <w:pPr>
        <w:pStyle w:val="Heading2"/>
        <w:spacing w:after="0"/>
      </w:pPr>
      <w:r>
        <w:t>APPEAL RIGHTS</w:t>
      </w:r>
    </w:p>
    <w:p w14:paraId="003A09B3" w14:textId="77777777" w:rsidR="00B87264" w:rsidRDefault="00B87264" w:rsidP="00B87264">
      <w:pPr>
        <w:spacing w:after="0"/>
        <w:rPr>
          <w:b/>
          <w:sz w:val="20"/>
          <w:szCs w:val="20"/>
        </w:rPr>
      </w:pPr>
      <w:r>
        <w:rPr>
          <w:sz w:val="20"/>
          <w:szCs w:val="20"/>
        </w:rPr>
        <w:tab/>
        <w:t xml:space="preserve">Any appeal of this decision must be filed with the Superior Court, Environmental Division (located at 2418 Airport Road, Suite 1, Barre, VT 05641-8701) within 30 days of the date the decision was issued, pursuant to 10 V.S.A. Chapter 220.  The Notice of Appeal must comply with the Vermont Rules for Environmental Court Proceedings (VRECP).  The appellant must file with the Notice of Appeal the entry fee required by 32 V.S.A. §1431 and the 5% surcharge required by 32 V.S.A. §1434a(a).  A copy of this appeal must be filed with the Zoning Administrator or the Town Clerk within thirty (30) days from the date of issuance. </w:t>
      </w:r>
    </w:p>
    <w:p w14:paraId="4D92C402" w14:textId="77777777" w:rsidR="00B87264" w:rsidRDefault="00B87264" w:rsidP="00B87264"/>
    <w:p w14:paraId="451A4667" w14:textId="77777777" w:rsidR="003B3992" w:rsidRDefault="00894DB9"/>
    <w:sectPr w:rsidR="003B399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4452D" w14:textId="77777777" w:rsidR="00894DB9" w:rsidRDefault="00894DB9" w:rsidP="00267F40">
      <w:pPr>
        <w:spacing w:after="0" w:line="240" w:lineRule="auto"/>
      </w:pPr>
      <w:r>
        <w:separator/>
      </w:r>
    </w:p>
  </w:endnote>
  <w:endnote w:type="continuationSeparator" w:id="0">
    <w:p w14:paraId="09888A6D" w14:textId="77777777" w:rsidR="00894DB9" w:rsidRDefault="00894DB9" w:rsidP="00267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8587B" w14:textId="77777777" w:rsidR="00267F40" w:rsidRDefault="00267F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584158"/>
      <w:docPartObj>
        <w:docPartGallery w:val="Page Numbers (Bottom of Page)"/>
        <w:docPartUnique/>
      </w:docPartObj>
    </w:sdtPr>
    <w:sdtEndPr/>
    <w:sdtContent>
      <w:sdt>
        <w:sdtPr>
          <w:id w:val="-1769616900"/>
          <w:docPartObj>
            <w:docPartGallery w:val="Page Numbers (Top of Page)"/>
            <w:docPartUnique/>
          </w:docPartObj>
        </w:sdtPr>
        <w:sdtEndPr/>
        <w:sdtContent>
          <w:p w14:paraId="6CD47EB0" w14:textId="2A23EBE8" w:rsidR="00E86F40" w:rsidRDefault="00E86F4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5C381B4" w14:textId="77777777" w:rsidR="00267F40" w:rsidRDefault="00267F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C29DD" w14:textId="77777777" w:rsidR="00267F40" w:rsidRDefault="00267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42F75" w14:textId="77777777" w:rsidR="00894DB9" w:rsidRDefault="00894DB9" w:rsidP="00267F40">
      <w:pPr>
        <w:spacing w:after="0" w:line="240" w:lineRule="auto"/>
      </w:pPr>
      <w:r>
        <w:separator/>
      </w:r>
    </w:p>
  </w:footnote>
  <w:footnote w:type="continuationSeparator" w:id="0">
    <w:p w14:paraId="522C544A" w14:textId="77777777" w:rsidR="00894DB9" w:rsidRDefault="00894DB9" w:rsidP="00267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ADD6" w14:textId="77777777" w:rsidR="00267F40" w:rsidRDefault="00267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C9B19" w14:textId="4F89ED30" w:rsidR="00267F40" w:rsidRDefault="00267F40" w:rsidP="00267F40">
    <w:pPr>
      <w:spacing w:line="264" w:lineRule="auto"/>
    </w:pPr>
    <w:r>
      <w:rPr>
        <w:noProof/>
        <w:color w:val="000000"/>
      </w:rPr>
      <mc:AlternateContent>
        <mc:Choice Requires="wps">
          <w:drawing>
            <wp:anchor distT="0" distB="0" distL="114300" distR="114300" simplePos="0" relativeHeight="251657216" behindDoc="0" locked="0" layoutInCell="1" allowOverlap="1" wp14:anchorId="6074C2DD" wp14:editId="7A6473FF">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90987D9" id="Rectangle 222" o:spid="_x0000_s1026" style="position:absolute;margin-left:0;margin-top:0;width:580.8pt;height:752.4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r>
      <w:rPr>
        <w:color w:val="4472C4" w:themeColor="accent1"/>
        <w:sz w:val="20"/>
        <w:szCs w:val="20"/>
      </w:rPr>
      <w:t>Kowalewitz waiver – 22-67-KF023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91B1" w14:textId="77777777" w:rsidR="00267F40" w:rsidRDefault="00267F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54747"/>
    <w:multiLevelType w:val="hybridMultilevel"/>
    <w:tmpl w:val="9D16EB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B857EA3"/>
    <w:multiLevelType w:val="hybridMultilevel"/>
    <w:tmpl w:val="F47CCF1A"/>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0C9771D"/>
    <w:multiLevelType w:val="hybridMultilevel"/>
    <w:tmpl w:val="929A8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57B0871"/>
    <w:multiLevelType w:val="hybridMultilevel"/>
    <w:tmpl w:val="38080250"/>
    <w:lvl w:ilvl="0" w:tplc="04090001">
      <w:numFmt w:val="decimal"/>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39066E7"/>
    <w:multiLevelType w:val="hybridMultilevel"/>
    <w:tmpl w:val="57442534"/>
    <w:lvl w:ilvl="0" w:tplc="0FB4CE0C">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259934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78399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447290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72389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077823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264"/>
    <w:rsid w:val="000218E8"/>
    <w:rsid w:val="001625A3"/>
    <w:rsid w:val="001A6578"/>
    <w:rsid w:val="001B094A"/>
    <w:rsid w:val="00232DC6"/>
    <w:rsid w:val="00267F40"/>
    <w:rsid w:val="00286B44"/>
    <w:rsid w:val="002F25C0"/>
    <w:rsid w:val="00362F8E"/>
    <w:rsid w:val="00385B85"/>
    <w:rsid w:val="0039788A"/>
    <w:rsid w:val="0042540C"/>
    <w:rsid w:val="0047512D"/>
    <w:rsid w:val="004853B6"/>
    <w:rsid w:val="0051114A"/>
    <w:rsid w:val="005900C7"/>
    <w:rsid w:val="005C3F03"/>
    <w:rsid w:val="005D5122"/>
    <w:rsid w:val="005E58E4"/>
    <w:rsid w:val="0066395B"/>
    <w:rsid w:val="00723598"/>
    <w:rsid w:val="0072636E"/>
    <w:rsid w:val="0075552D"/>
    <w:rsid w:val="0084499F"/>
    <w:rsid w:val="00892B16"/>
    <w:rsid w:val="00894DB9"/>
    <w:rsid w:val="00940933"/>
    <w:rsid w:val="00951B74"/>
    <w:rsid w:val="009852F0"/>
    <w:rsid w:val="00A04CAA"/>
    <w:rsid w:val="00AA0CF1"/>
    <w:rsid w:val="00B87264"/>
    <w:rsid w:val="00BF79FB"/>
    <w:rsid w:val="00C121F7"/>
    <w:rsid w:val="00D15193"/>
    <w:rsid w:val="00E20C37"/>
    <w:rsid w:val="00E4492C"/>
    <w:rsid w:val="00E86F40"/>
    <w:rsid w:val="00EC2C70"/>
    <w:rsid w:val="00FC062E"/>
    <w:rsid w:val="00FF0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5A7DC"/>
  <w15:chartTrackingRefBased/>
  <w15:docId w15:val="{A4AAD7A4-CCD8-4EF8-A51C-0FEEEBF5F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264"/>
    <w:pPr>
      <w:spacing w:line="252" w:lineRule="auto"/>
    </w:pPr>
  </w:style>
  <w:style w:type="paragraph" w:styleId="Heading2">
    <w:name w:val="heading 2"/>
    <w:basedOn w:val="Normal"/>
    <w:next w:val="Normal"/>
    <w:link w:val="Heading2Char"/>
    <w:semiHidden/>
    <w:unhideWhenUsed/>
    <w:qFormat/>
    <w:rsid w:val="00B87264"/>
    <w:pPr>
      <w:keepNext/>
      <w:autoSpaceDE w:val="0"/>
      <w:autoSpaceDN w:val="0"/>
      <w:spacing w:after="240" w:line="240" w:lineRule="auto"/>
      <w:jc w:val="center"/>
      <w:outlineLvl w:val="1"/>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87264"/>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B87264"/>
    <w:pPr>
      <w:ind w:left="720"/>
      <w:contextualSpacing/>
    </w:pPr>
  </w:style>
  <w:style w:type="paragraph" w:styleId="Header">
    <w:name w:val="header"/>
    <w:basedOn w:val="Normal"/>
    <w:link w:val="HeaderChar"/>
    <w:uiPriority w:val="99"/>
    <w:unhideWhenUsed/>
    <w:rsid w:val="00267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F40"/>
  </w:style>
  <w:style w:type="paragraph" w:styleId="Footer">
    <w:name w:val="footer"/>
    <w:basedOn w:val="Normal"/>
    <w:link w:val="FooterChar"/>
    <w:uiPriority w:val="99"/>
    <w:unhideWhenUsed/>
    <w:rsid w:val="00267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2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800</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 Hero Zoning</dc:creator>
  <cp:keywords/>
  <dc:description/>
  <cp:lastModifiedBy>South Hero Zoning</cp:lastModifiedBy>
  <cp:revision>13</cp:revision>
  <dcterms:created xsi:type="dcterms:W3CDTF">2022-06-08T01:49:00Z</dcterms:created>
  <dcterms:modified xsi:type="dcterms:W3CDTF">2022-06-23T01:48:00Z</dcterms:modified>
</cp:coreProperties>
</file>