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7F3E" w14:textId="77777777" w:rsidR="002E3C48" w:rsidRDefault="002E3C48" w:rsidP="002E3C48">
      <w:pPr>
        <w:spacing w:after="0"/>
        <w:jc w:val="center"/>
        <w:rPr>
          <w:b/>
          <w:sz w:val="28"/>
          <w:szCs w:val="28"/>
        </w:rPr>
      </w:pPr>
      <w:r>
        <w:rPr>
          <w:b/>
          <w:sz w:val="28"/>
          <w:szCs w:val="28"/>
        </w:rPr>
        <w:t>TOWN OF SOUTH HERO, VERMONT</w:t>
      </w:r>
    </w:p>
    <w:p w14:paraId="2D09609D" w14:textId="77777777" w:rsidR="002E3C48" w:rsidRDefault="002E3C48" w:rsidP="002E3C48">
      <w:pPr>
        <w:spacing w:after="0"/>
        <w:jc w:val="center"/>
        <w:rPr>
          <w:b/>
          <w:sz w:val="28"/>
          <w:szCs w:val="28"/>
        </w:rPr>
      </w:pPr>
      <w:r>
        <w:rPr>
          <w:b/>
          <w:sz w:val="28"/>
          <w:szCs w:val="28"/>
        </w:rPr>
        <w:t>DEVELOPMENT REVIEW BOARD</w:t>
      </w:r>
    </w:p>
    <w:p w14:paraId="5BCC40DF" w14:textId="1418D921" w:rsidR="002E3C48" w:rsidRDefault="002E3C48" w:rsidP="002E3C48">
      <w:pPr>
        <w:spacing w:after="0"/>
        <w:jc w:val="center"/>
        <w:rPr>
          <w:b/>
          <w:sz w:val="28"/>
          <w:szCs w:val="28"/>
        </w:rPr>
      </w:pPr>
      <w:r>
        <w:rPr>
          <w:b/>
          <w:sz w:val="28"/>
          <w:szCs w:val="28"/>
        </w:rPr>
        <w:t xml:space="preserve">DECISION DATED June </w:t>
      </w:r>
      <w:r w:rsidR="00B606BE">
        <w:rPr>
          <w:b/>
          <w:sz w:val="28"/>
          <w:szCs w:val="28"/>
        </w:rPr>
        <w:t>22</w:t>
      </w:r>
      <w:r>
        <w:rPr>
          <w:b/>
          <w:sz w:val="28"/>
          <w:szCs w:val="28"/>
        </w:rPr>
        <w:t>, 2022</w:t>
      </w:r>
    </w:p>
    <w:p w14:paraId="45E1A30C" w14:textId="77777777" w:rsidR="002E3C48" w:rsidRDefault="002E3C48" w:rsidP="002E3C48">
      <w:pPr>
        <w:spacing w:after="0"/>
        <w:jc w:val="center"/>
        <w:rPr>
          <w:b/>
          <w:sz w:val="28"/>
          <w:szCs w:val="28"/>
        </w:rPr>
      </w:pPr>
    </w:p>
    <w:p w14:paraId="7C38DCBF" w14:textId="77777777" w:rsidR="002E3C48" w:rsidRDefault="002E3C48" w:rsidP="002E3C48">
      <w:pPr>
        <w:spacing w:after="0"/>
        <w:jc w:val="center"/>
        <w:rPr>
          <w:b/>
          <w:sz w:val="28"/>
          <w:szCs w:val="28"/>
        </w:rPr>
      </w:pPr>
    </w:p>
    <w:p w14:paraId="2C797FFA" w14:textId="77777777" w:rsidR="002E3C48" w:rsidRDefault="002E3C48" w:rsidP="002E3C48">
      <w:pPr>
        <w:spacing w:after="0"/>
        <w:jc w:val="center"/>
        <w:rPr>
          <w:b/>
          <w:sz w:val="28"/>
          <w:szCs w:val="28"/>
        </w:rPr>
      </w:pPr>
    </w:p>
    <w:p w14:paraId="4C2F6593" w14:textId="77777777" w:rsidR="002E3C48" w:rsidRDefault="002E3C48" w:rsidP="002E3C48">
      <w:pPr>
        <w:spacing w:after="0"/>
        <w:jc w:val="center"/>
        <w:rPr>
          <w:b/>
          <w:sz w:val="24"/>
          <w:szCs w:val="24"/>
        </w:rPr>
      </w:pPr>
    </w:p>
    <w:p w14:paraId="51588461" w14:textId="77777777" w:rsidR="002E3C48" w:rsidRDefault="002E3C48" w:rsidP="002E3C48">
      <w:pPr>
        <w:spacing w:after="0"/>
        <w:rPr>
          <w:b/>
          <w:sz w:val="24"/>
          <w:szCs w:val="24"/>
          <w:u w:val="single"/>
        </w:rPr>
      </w:pPr>
      <w:r>
        <w:rPr>
          <w:b/>
          <w:sz w:val="24"/>
          <w:szCs w:val="24"/>
          <w:u w:val="single"/>
        </w:rPr>
        <w:t>APPLICANT</w:t>
      </w:r>
    </w:p>
    <w:p w14:paraId="4BDB5E1F" w14:textId="615B6DC6" w:rsidR="002E3C48" w:rsidRDefault="002E3C48" w:rsidP="002E3C48">
      <w:pPr>
        <w:spacing w:after="0"/>
        <w:rPr>
          <w:b/>
          <w:sz w:val="24"/>
          <w:szCs w:val="24"/>
        </w:rPr>
      </w:pPr>
      <w:r>
        <w:rPr>
          <w:b/>
          <w:sz w:val="24"/>
          <w:szCs w:val="24"/>
        </w:rPr>
        <w:t>Name:</w:t>
      </w:r>
      <w:r>
        <w:rPr>
          <w:b/>
          <w:sz w:val="24"/>
          <w:szCs w:val="24"/>
        </w:rPr>
        <w:tab/>
      </w:r>
      <w:r>
        <w:rPr>
          <w:b/>
          <w:sz w:val="24"/>
          <w:szCs w:val="24"/>
        </w:rPr>
        <w:tab/>
        <w:t>Hayward 310 US Route 2, LLC/Nate Hayward</w:t>
      </w:r>
    </w:p>
    <w:p w14:paraId="39B69FC8" w14:textId="6E785F65" w:rsidR="002E3C48" w:rsidRDefault="002E3C48" w:rsidP="002E3C48">
      <w:pPr>
        <w:spacing w:after="0"/>
        <w:rPr>
          <w:b/>
          <w:sz w:val="24"/>
          <w:szCs w:val="24"/>
        </w:rPr>
      </w:pPr>
      <w:r>
        <w:rPr>
          <w:b/>
          <w:sz w:val="24"/>
          <w:szCs w:val="24"/>
        </w:rPr>
        <w:t>Address:</w:t>
      </w:r>
      <w:r>
        <w:rPr>
          <w:b/>
          <w:sz w:val="24"/>
          <w:szCs w:val="24"/>
        </w:rPr>
        <w:tab/>
        <w:t>38 Community Lane, Box 2, South Hero, VT 05486</w:t>
      </w:r>
    </w:p>
    <w:p w14:paraId="2E1C914D" w14:textId="77777777" w:rsidR="002E3C48" w:rsidRDefault="002E3C48" w:rsidP="002E3C48">
      <w:pPr>
        <w:spacing w:after="0"/>
        <w:rPr>
          <w:b/>
          <w:sz w:val="24"/>
          <w:szCs w:val="24"/>
        </w:rPr>
      </w:pPr>
    </w:p>
    <w:p w14:paraId="18FF020E" w14:textId="77777777" w:rsidR="002E3C48" w:rsidRDefault="002E3C48" w:rsidP="002E3C48">
      <w:pPr>
        <w:spacing w:after="0"/>
        <w:rPr>
          <w:b/>
          <w:sz w:val="24"/>
          <w:szCs w:val="24"/>
          <w:u w:val="single"/>
        </w:rPr>
      </w:pPr>
      <w:r>
        <w:rPr>
          <w:b/>
          <w:sz w:val="24"/>
          <w:szCs w:val="24"/>
          <w:u w:val="single"/>
        </w:rPr>
        <w:t>LANDOWNER</w:t>
      </w:r>
    </w:p>
    <w:p w14:paraId="09FE86B7" w14:textId="77777777" w:rsidR="002E3C48" w:rsidRDefault="002E3C48" w:rsidP="002E3C48">
      <w:pPr>
        <w:spacing w:after="0"/>
        <w:rPr>
          <w:b/>
          <w:sz w:val="24"/>
          <w:szCs w:val="24"/>
        </w:rPr>
      </w:pPr>
      <w:r>
        <w:rPr>
          <w:b/>
          <w:sz w:val="24"/>
          <w:szCs w:val="24"/>
        </w:rPr>
        <w:t>Name:</w:t>
      </w:r>
      <w:r>
        <w:rPr>
          <w:b/>
          <w:sz w:val="24"/>
          <w:szCs w:val="24"/>
        </w:rPr>
        <w:tab/>
      </w:r>
      <w:r>
        <w:rPr>
          <w:b/>
          <w:sz w:val="24"/>
          <w:szCs w:val="24"/>
        </w:rPr>
        <w:tab/>
        <w:t>Same</w:t>
      </w:r>
    </w:p>
    <w:p w14:paraId="0482D3BB" w14:textId="77777777" w:rsidR="002E3C48" w:rsidRDefault="002E3C48" w:rsidP="002E3C48">
      <w:pPr>
        <w:spacing w:after="0"/>
        <w:rPr>
          <w:b/>
          <w:sz w:val="24"/>
          <w:szCs w:val="24"/>
        </w:rPr>
      </w:pPr>
    </w:p>
    <w:p w14:paraId="2A0157B8" w14:textId="77777777" w:rsidR="002E3C48" w:rsidRDefault="002E3C48" w:rsidP="002E3C48">
      <w:pPr>
        <w:spacing w:after="0"/>
        <w:rPr>
          <w:b/>
          <w:sz w:val="24"/>
          <w:szCs w:val="24"/>
          <w:u w:val="single"/>
        </w:rPr>
      </w:pPr>
      <w:r>
        <w:rPr>
          <w:b/>
          <w:sz w:val="24"/>
          <w:szCs w:val="24"/>
          <w:u w:val="single"/>
        </w:rPr>
        <w:t>APPLICATION</w:t>
      </w:r>
    </w:p>
    <w:p w14:paraId="108EFCD2" w14:textId="77777777" w:rsidR="002E3C48" w:rsidRDefault="002E3C48" w:rsidP="002E3C48">
      <w:pPr>
        <w:spacing w:after="0"/>
        <w:ind w:left="1440" w:hanging="1440"/>
        <w:rPr>
          <w:b/>
          <w:sz w:val="24"/>
          <w:szCs w:val="24"/>
        </w:rPr>
      </w:pPr>
      <w:r>
        <w:rPr>
          <w:b/>
          <w:sz w:val="24"/>
          <w:szCs w:val="24"/>
        </w:rPr>
        <w:t>Type:</w:t>
      </w:r>
      <w:r>
        <w:rPr>
          <w:b/>
          <w:sz w:val="24"/>
          <w:szCs w:val="24"/>
        </w:rPr>
        <w:tab/>
        <w:t xml:space="preserve">Request for Setback Waiver </w:t>
      </w:r>
    </w:p>
    <w:p w14:paraId="5885C8FF" w14:textId="77777777" w:rsidR="002E3C48" w:rsidRDefault="002E3C48" w:rsidP="002E3C48">
      <w:pPr>
        <w:spacing w:after="0"/>
        <w:ind w:left="1440" w:hanging="1440"/>
        <w:rPr>
          <w:b/>
          <w:sz w:val="24"/>
          <w:szCs w:val="24"/>
        </w:rPr>
      </w:pPr>
    </w:p>
    <w:p w14:paraId="1F7CCE22" w14:textId="6E2D1D6C" w:rsidR="002E3C48" w:rsidRDefault="002E3C48" w:rsidP="002E3C48">
      <w:pPr>
        <w:spacing w:after="0"/>
        <w:rPr>
          <w:b/>
          <w:sz w:val="24"/>
          <w:szCs w:val="24"/>
        </w:rPr>
      </w:pPr>
      <w:r>
        <w:rPr>
          <w:b/>
          <w:sz w:val="24"/>
          <w:szCs w:val="24"/>
        </w:rPr>
        <w:t>Number:</w:t>
      </w:r>
      <w:r>
        <w:rPr>
          <w:b/>
          <w:sz w:val="24"/>
          <w:szCs w:val="24"/>
        </w:rPr>
        <w:tab/>
        <w:t>22-62-RT310</w:t>
      </w:r>
    </w:p>
    <w:p w14:paraId="11FCAC9F" w14:textId="77777777" w:rsidR="002E3C48" w:rsidRDefault="002E3C48" w:rsidP="002E3C48">
      <w:pPr>
        <w:spacing w:after="0"/>
        <w:rPr>
          <w:b/>
          <w:sz w:val="24"/>
          <w:szCs w:val="24"/>
        </w:rPr>
      </w:pPr>
    </w:p>
    <w:p w14:paraId="25770111" w14:textId="77777777" w:rsidR="002E3C48" w:rsidRDefault="002E3C48" w:rsidP="002E3C48">
      <w:pPr>
        <w:spacing w:after="0"/>
        <w:rPr>
          <w:b/>
          <w:sz w:val="24"/>
          <w:szCs w:val="24"/>
          <w:u w:val="single"/>
        </w:rPr>
      </w:pPr>
      <w:r>
        <w:rPr>
          <w:b/>
          <w:sz w:val="24"/>
          <w:szCs w:val="24"/>
          <w:u w:val="single"/>
        </w:rPr>
        <w:t>PROPERTY</w:t>
      </w:r>
    </w:p>
    <w:p w14:paraId="6170B095" w14:textId="2DFBE4C7" w:rsidR="002E3C48" w:rsidRDefault="002E3C48" w:rsidP="002E3C48">
      <w:pPr>
        <w:spacing w:after="0"/>
        <w:rPr>
          <w:b/>
          <w:sz w:val="24"/>
          <w:szCs w:val="24"/>
        </w:rPr>
      </w:pPr>
      <w:r>
        <w:rPr>
          <w:b/>
          <w:sz w:val="24"/>
          <w:szCs w:val="24"/>
        </w:rPr>
        <w:t>Location:</w:t>
      </w:r>
      <w:r>
        <w:rPr>
          <w:b/>
          <w:sz w:val="24"/>
          <w:szCs w:val="24"/>
        </w:rPr>
        <w:tab/>
        <w:t>310 US RT 2</w:t>
      </w:r>
    </w:p>
    <w:p w14:paraId="3B3321F1" w14:textId="77777777" w:rsidR="002E3C48" w:rsidRDefault="002E3C48" w:rsidP="002E3C48">
      <w:pPr>
        <w:spacing w:after="0"/>
        <w:rPr>
          <w:b/>
          <w:sz w:val="24"/>
          <w:szCs w:val="24"/>
        </w:rPr>
      </w:pPr>
    </w:p>
    <w:p w14:paraId="33A9DDEA" w14:textId="2F804FB2" w:rsidR="002E3C48" w:rsidRDefault="002E3C48" w:rsidP="002E3C48">
      <w:pPr>
        <w:spacing w:after="0"/>
        <w:rPr>
          <w:b/>
          <w:sz w:val="24"/>
          <w:szCs w:val="24"/>
        </w:rPr>
      </w:pPr>
      <w:r>
        <w:rPr>
          <w:b/>
          <w:sz w:val="24"/>
          <w:szCs w:val="24"/>
        </w:rPr>
        <w:t>Hearing Date:  May 25, 2022</w:t>
      </w:r>
    </w:p>
    <w:p w14:paraId="16B318CD" w14:textId="77777777" w:rsidR="002E3C48" w:rsidRDefault="002E3C48" w:rsidP="002E3C48">
      <w:pPr>
        <w:spacing w:after="0"/>
        <w:rPr>
          <w:b/>
          <w:sz w:val="24"/>
          <w:szCs w:val="24"/>
        </w:rPr>
      </w:pPr>
    </w:p>
    <w:p w14:paraId="6FCB2C30" w14:textId="1B359B27" w:rsidR="002E3C48" w:rsidRDefault="002E3C48" w:rsidP="002E3C48">
      <w:pPr>
        <w:spacing w:after="0"/>
        <w:rPr>
          <w:sz w:val="24"/>
          <w:szCs w:val="24"/>
        </w:rPr>
      </w:pPr>
      <w:r>
        <w:rPr>
          <w:sz w:val="24"/>
          <w:szCs w:val="24"/>
        </w:rPr>
        <w:t xml:space="preserve">Nate Hayward submitted an application on April 14, 2022 requesting a setback waiver per Sec. 305 to add a porch to </w:t>
      </w:r>
      <w:r w:rsidR="001670CB">
        <w:rPr>
          <w:sz w:val="24"/>
          <w:szCs w:val="24"/>
        </w:rPr>
        <w:t>the Fifield house</w:t>
      </w:r>
      <w:r>
        <w:rPr>
          <w:sz w:val="24"/>
          <w:szCs w:val="24"/>
        </w:rPr>
        <w:t xml:space="preserve"> at </w:t>
      </w:r>
      <w:r w:rsidR="001670CB">
        <w:rPr>
          <w:sz w:val="24"/>
          <w:szCs w:val="24"/>
        </w:rPr>
        <w:t>310 US RT 2.</w:t>
      </w:r>
      <w:r>
        <w:rPr>
          <w:sz w:val="24"/>
          <w:szCs w:val="24"/>
        </w:rPr>
        <w:t xml:space="preserve">  Per Section 805 of the South Hero Development Regulations, a warning for the public hearing appeared in the </w:t>
      </w:r>
      <w:r w:rsidR="001670CB">
        <w:rPr>
          <w:sz w:val="24"/>
          <w:szCs w:val="24"/>
        </w:rPr>
        <w:t>May 4</w:t>
      </w:r>
      <w:r>
        <w:rPr>
          <w:sz w:val="24"/>
          <w:szCs w:val="24"/>
        </w:rPr>
        <w:t xml:space="preserve">, 2022 issue of the Islander and was posted in the Town Office, the Post Office, and the Town Library, and abutters to the property were notified.  A hearing was held on </w:t>
      </w:r>
      <w:r w:rsidR="001670CB">
        <w:rPr>
          <w:sz w:val="24"/>
          <w:szCs w:val="24"/>
        </w:rPr>
        <w:t>May 25</w:t>
      </w:r>
      <w:r>
        <w:rPr>
          <w:sz w:val="24"/>
          <w:szCs w:val="24"/>
        </w:rPr>
        <w:t xml:space="preserve">, 2022.  A list of those present and participating in the hearings is included in the minutes.  </w:t>
      </w:r>
    </w:p>
    <w:p w14:paraId="606B24B9" w14:textId="77777777" w:rsidR="002E3C48" w:rsidRDefault="002E3C48" w:rsidP="002E3C48">
      <w:pPr>
        <w:spacing w:after="0"/>
        <w:rPr>
          <w:sz w:val="24"/>
          <w:szCs w:val="24"/>
        </w:rPr>
      </w:pPr>
    </w:p>
    <w:p w14:paraId="096CADA5" w14:textId="77777777" w:rsidR="002E3C48" w:rsidRDefault="002E3C48" w:rsidP="002E3C48">
      <w:pPr>
        <w:spacing w:after="0"/>
        <w:rPr>
          <w:b/>
          <w:sz w:val="24"/>
          <w:szCs w:val="24"/>
        </w:rPr>
      </w:pPr>
      <w:r>
        <w:rPr>
          <w:b/>
          <w:sz w:val="24"/>
          <w:szCs w:val="24"/>
        </w:rPr>
        <w:t>During the course of the hearing, the following exhibits were submitted:</w:t>
      </w:r>
    </w:p>
    <w:p w14:paraId="294E3DA7" w14:textId="77777777" w:rsidR="002E3C48" w:rsidRDefault="002E3C48" w:rsidP="002E3C48">
      <w:pPr>
        <w:spacing w:after="0"/>
        <w:rPr>
          <w:b/>
          <w:sz w:val="24"/>
          <w:szCs w:val="24"/>
        </w:rPr>
      </w:pPr>
    </w:p>
    <w:p w14:paraId="399FF7AD" w14:textId="77777777" w:rsidR="002E3C48" w:rsidRDefault="002E3C48" w:rsidP="002E3C48">
      <w:pPr>
        <w:pStyle w:val="ListParagraph"/>
        <w:numPr>
          <w:ilvl w:val="0"/>
          <w:numId w:val="1"/>
        </w:numPr>
        <w:spacing w:after="0"/>
        <w:rPr>
          <w:sz w:val="24"/>
          <w:szCs w:val="24"/>
        </w:rPr>
      </w:pPr>
      <w:r>
        <w:rPr>
          <w:sz w:val="24"/>
          <w:szCs w:val="24"/>
        </w:rPr>
        <w:t>Town of South Hero Development Regulations, effective March 30, 2020</w:t>
      </w:r>
    </w:p>
    <w:p w14:paraId="20409F1F" w14:textId="77777777" w:rsidR="001670CB" w:rsidRDefault="001670CB" w:rsidP="001670CB">
      <w:pPr>
        <w:pStyle w:val="ListParagraph"/>
        <w:numPr>
          <w:ilvl w:val="0"/>
          <w:numId w:val="1"/>
        </w:numPr>
        <w:spacing w:after="0"/>
        <w:rPr>
          <w:sz w:val="24"/>
          <w:szCs w:val="24"/>
        </w:rPr>
      </w:pPr>
      <w:r>
        <w:rPr>
          <w:sz w:val="24"/>
          <w:szCs w:val="24"/>
        </w:rPr>
        <w:t>Setback Waiver Application, dated and rec’d April 14, 2022.</w:t>
      </w:r>
    </w:p>
    <w:p w14:paraId="6A252746" w14:textId="77777777" w:rsidR="001670CB" w:rsidRDefault="001670CB" w:rsidP="001670CB">
      <w:pPr>
        <w:pStyle w:val="ListParagraph"/>
        <w:numPr>
          <w:ilvl w:val="0"/>
          <w:numId w:val="1"/>
        </w:numPr>
        <w:spacing w:after="0"/>
        <w:rPr>
          <w:sz w:val="24"/>
          <w:szCs w:val="24"/>
        </w:rPr>
      </w:pPr>
      <w:r>
        <w:rPr>
          <w:sz w:val="24"/>
          <w:szCs w:val="24"/>
        </w:rPr>
        <w:t>Historical photos</w:t>
      </w:r>
    </w:p>
    <w:p w14:paraId="2E609F6B" w14:textId="77777777" w:rsidR="001670CB" w:rsidRDefault="001670CB" w:rsidP="001670CB">
      <w:pPr>
        <w:pStyle w:val="ListParagraph"/>
        <w:numPr>
          <w:ilvl w:val="0"/>
          <w:numId w:val="1"/>
        </w:numPr>
        <w:spacing w:after="0"/>
        <w:rPr>
          <w:sz w:val="24"/>
          <w:szCs w:val="24"/>
        </w:rPr>
      </w:pPr>
      <w:r>
        <w:rPr>
          <w:sz w:val="24"/>
          <w:szCs w:val="24"/>
        </w:rPr>
        <w:t>Current photo</w:t>
      </w:r>
    </w:p>
    <w:p w14:paraId="4BD0906E" w14:textId="77777777" w:rsidR="001670CB" w:rsidRDefault="001670CB" w:rsidP="001670CB">
      <w:pPr>
        <w:pStyle w:val="ListParagraph"/>
        <w:numPr>
          <w:ilvl w:val="0"/>
          <w:numId w:val="1"/>
        </w:numPr>
        <w:spacing w:after="0"/>
        <w:rPr>
          <w:sz w:val="24"/>
          <w:szCs w:val="24"/>
        </w:rPr>
      </w:pPr>
      <w:r>
        <w:rPr>
          <w:sz w:val="24"/>
          <w:szCs w:val="24"/>
        </w:rPr>
        <w:t>Site plan showing current and proposed setback distances</w:t>
      </w:r>
    </w:p>
    <w:p w14:paraId="1B41AD85" w14:textId="77777777" w:rsidR="001670CB" w:rsidRDefault="001670CB" w:rsidP="001670CB">
      <w:pPr>
        <w:pStyle w:val="ListParagraph"/>
        <w:numPr>
          <w:ilvl w:val="0"/>
          <w:numId w:val="1"/>
        </w:numPr>
        <w:spacing w:after="0"/>
        <w:rPr>
          <w:sz w:val="24"/>
          <w:szCs w:val="24"/>
        </w:rPr>
      </w:pPr>
      <w:r w:rsidRPr="00A36AF9">
        <w:rPr>
          <w:sz w:val="24"/>
          <w:szCs w:val="24"/>
        </w:rPr>
        <w:t>Full survey of the property, by Richard W. Bell</w:t>
      </w:r>
      <w:r>
        <w:rPr>
          <w:sz w:val="24"/>
          <w:szCs w:val="24"/>
        </w:rPr>
        <w:t xml:space="preserve"> </w:t>
      </w:r>
      <w:r w:rsidRPr="00A36AF9">
        <w:rPr>
          <w:sz w:val="24"/>
          <w:szCs w:val="24"/>
        </w:rPr>
        <w:t>Land Surveying, date April 21, 202</w:t>
      </w:r>
      <w:r>
        <w:rPr>
          <w:sz w:val="24"/>
          <w:szCs w:val="24"/>
        </w:rPr>
        <w:t>1</w:t>
      </w:r>
    </w:p>
    <w:p w14:paraId="41AA8DD3" w14:textId="77777777" w:rsidR="001670CB" w:rsidRDefault="001670CB" w:rsidP="001670CB">
      <w:pPr>
        <w:pStyle w:val="ListParagraph"/>
        <w:numPr>
          <w:ilvl w:val="0"/>
          <w:numId w:val="1"/>
        </w:numPr>
        <w:spacing w:after="0"/>
        <w:rPr>
          <w:sz w:val="24"/>
          <w:szCs w:val="24"/>
        </w:rPr>
      </w:pPr>
      <w:r>
        <w:rPr>
          <w:sz w:val="24"/>
          <w:szCs w:val="24"/>
        </w:rPr>
        <w:t>Enlarged portion of survey showing house</w:t>
      </w:r>
    </w:p>
    <w:p w14:paraId="470FAE92" w14:textId="77777777" w:rsidR="001670CB" w:rsidRDefault="001670CB" w:rsidP="001670CB">
      <w:pPr>
        <w:pStyle w:val="ListParagraph"/>
        <w:numPr>
          <w:ilvl w:val="0"/>
          <w:numId w:val="1"/>
        </w:numPr>
        <w:spacing w:after="0"/>
        <w:rPr>
          <w:sz w:val="24"/>
          <w:szCs w:val="24"/>
        </w:rPr>
      </w:pPr>
      <w:r>
        <w:rPr>
          <w:sz w:val="24"/>
          <w:szCs w:val="24"/>
        </w:rPr>
        <w:lastRenderedPageBreak/>
        <w:t>Correspondence with Bill Johnson of Vermont Electric Co-op</w:t>
      </w:r>
    </w:p>
    <w:p w14:paraId="3FA8E57D" w14:textId="77777777" w:rsidR="001670CB" w:rsidRDefault="001670CB" w:rsidP="001670CB">
      <w:pPr>
        <w:pStyle w:val="ListParagraph"/>
        <w:numPr>
          <w:ilvl w:val="0"/>
          <w:numId w:val="1"/>
        </w:numPr>
        <w:spacing w:after="0"/>
        <w:rPr>
          <w:sz w:val="24"/>
          <w:szCs w:val="24"/>
        </w:rPr>
      </w:pPr>
      <w:r>
        <w:rPr>
          <w:sz w:val="24"/>
          <w:szCs w:val="24"/>
        </w:rPr>
        <w:t>Email letters of support from neighbor along RT 2</w:t>
      </w:r>
    </w:p>
    <w:p w14:paraId="4D78CD11" w14:textId="77777777" w:rsidR="001670CB" w:rsidRPr="00A36AF9" w:rsidRDefault="001670CB" w:rsidP="001670CB">
      <w:pPr>
        <w:pStyle w:val="ListParagraph"/>
        <w:numPr>
          <w:ilvl w:val="0"/>
          <w:numId w:val="1"/>
        </w:numPr>
        <w:spacing w:after="0"/>
        <w:rPr>
          <w:sz w:val="24"/>
          <w:szCs w:val="24"/>
        </w:rPr>
      </w:pPr>
      <w:r w:rsidRPr="00A36AF9">
        <w:rPr>
          <w:sz w:val="24"/>
          <w:szCs w:val="24"/>
        </w:rPr>
        <w:t>Warning ad, Abutters’ Notice, and Hearing Letter for May 25, 2022 DRB Setback Waiver Review.</w:t>
      </w:r>
    </w:p>
    <w:p w14:paraId="2E5FEB28" w14:textId="05B80DFA" w:rsidR="001670CB" w:rsidRDefault="001670CB" w:rsidP="001670CB">
      <w:pPr>
        <w:pStyle w:val="ListParagraph"/>
        <w:numPr>
          <w:ilvl w:val="0"/>
          <w:numId w:val="1"/>
        </w:numPr>
        <w:spacing w:after="0"/>
        <w:rPr>
          <w:sz w:val="24"/>
          <w:szCs w:val="24"/>
        </w:rPr>
      </w:pPr>
      <w:r>
        <w:rPr>
          <w:sz w:val="24"/>
          <w:szCs w:val="24"/>
        </w:rPr>
        <w:t>Staff report for May 25, 2022 DRB hearing.</w:t>
      </w:r>
    </w:p>
    <w:p w14:paraId="00FCF655" w14:textId="01D34541" w:rsidR="001670CB" w:rsidRDefault="001670CB" w:rsidP="001670CB">
      <w:pPr>
        <w:pStyle w:val="ListParagraph"/>
        <w:numPr>
          <w:ilvl w:val="0"/>
          <w:numId w:val="1"/>
        </w:numPr>
        <w:spacing w:after="0"/>
        <w:rPr>
          <w:sz w:val="24"/>
          <w:szCs w:val="24"/>
        </w:rPr>
      </w:pPr>
      <w:r>
        <w:rPr>
          <w:sz w:val="24"/>
          <w:szCs w:val="24"/>
        </w:rPr>
        <w:t>Draft Minutes from the May 25, 2022 hearing.</w:t>
      </w:r>
    </w:p>
    <w:p w14:paraId="53805560" w14:textId="77777777" w:rsidR="002E3C48" w:rsidRDefault="002E3C48" w:rsidP="002E3C48">
      <w:pPr>
        <w:spacing w:after="0"/>
        <w:rPr>
          <w:sz w:val="24"/>
          <w:szCs w:val="24"/>
        </w:rPr>
      </w:pPr>
    </w:p>
    <w:p w14:paraId="7D583098" w14:textId="631817B7" w:rsidR="002E3C48" w:rsidRDefault="002E3C48" w:rsidP="002E3C48">
      <w:pPr>
        <w:spacing w:after="0"/>
        <w:rPr>
          <w:b/>
          <w:sz w:val="24"/>
          <w:szCs w:val="24"/>
        </w:rPr>
      </w:pPr>
      <w:r>
        <w:rPr>
          <w:sz w:val="24"/>
          <w:szCs w:val="24"/>
        </w:rPr>
        <w:t xml:space="preserve">Based on the applications, supporting documents, and testimony of </w:t>
      </w:r>
      <w:r w:rsidR="001670CB">
        <w:rPr>
          <w:sz w:val="24"/>
          <w:szCs w:val="24"/>
        </w:rPr>
        <w:t>Nate Hayward</w:t>
      </w:r>
      <w:r>
        <w:rPr>
          <w:sz w:val="24"/>
          <w:szCs w:val="24"/>
        </w:rPr>
        <w:t xml:space="preserve">, </w:t>
      </w:r>
      <w:r>
        <w:rPr>
          <w:b/>
          <w:sz w:val="24"/>
          <w:szCs w:val="24"/>
        </w:rPr>
        <w:t>the Development Review Board makes the following Findings and enters the following decision:</w:t>
      </w:r>
    </w:p>
    <w:p w14:paraId="3B4D2690" w14:textId="77777777" w:rsidR="002E3C48" w:rsidRDefault="002E3C48" w:rsidP="002E3C48">
      <w:pPr>
        <w:spacing w:after="0"/>
        <w:rPr>
          <w:b/>
          <w:sz w:val="24"/>
          <w:szCs w:val="24"/>
        </w:rPr>
      </w:pPr>
    </w:p>
    <w:p w14:paraId="19CD3928" w14:textId="77777777" w:rsidR="002E3C48" w:rsidRDefault="002E3C48" w:rsidP="002E3C48">
      <w:pPr>
        <w:spacing w:after="0"/>
        <w:rPr>
          <w:sz w:val="24"/>
          <w:szCs w:val="24"/>
        </w:rPr>
      </w:pPr>
      <w:r>
        <w:rPr>
          <w:b/>
          <w:sz w:val="24"/>
          <w:szCs w:val="24"/>
        </w:rPr>
        <w:t xml:space="preserve">Findings: </w:t>
      </w:r>
    </w:p>
    <w:p w14:paraId="71167B03" w14:textId="23A717CF" w:rsidR="002E3C48" w:rsidRDefault="001670CB" w:rsidP="002E3C48">
      <w:pPr>
        <w:pStyle w:val="ListParagraph"/>
        <w:numPr>
          <w:ilvl w:val="0"/>
          <w:numId w:val="4"/>
        </w:numPr>
        <w:spacing w:after="0"/>
        <w:rPr>
          <w:sz w:val="24"/>
          <w:szCs w:val="24"/>
        </w:rPr>
      </w:pPr>
      <w:r>
        <w:rPr>
          <w:sz w:val="24"/>
          <w:szCs w:val="24"/>
        </w:rPr>
        <w:t>310 US RT 2</w:t>
      </w:r>
      <w:r w:rsidR="002E3C48">
        <w:rPr>
          <w:sz w:val="24"/>
          <w:szCs w:val="24"/>
        </w:rPr>
        <w:t xml:space="preserve"> is a </w:t>
      </w:r>
      <w:r w:rsidR="00B606BE">
        <w:rPr>
          <w:sz w:val="24"/>
          <w:szCs w:val="24"/>
        </w:rPr>
        <w:t>9</w:t>
      </w:r>
      <w:r w:rsidR="002E3C48">
        <w:rPr>
          <w:sz w:val="24"/>
          <w:szCs w:val="24"/>
        </w:rPr>
        <w:t>-acre p</w:t>
      </w:r>
      <w:r>
        <w:rPr>
          <w:sz w:val="24"/>
          <w:szCs w:val="24"/>
        </w:rPr>
        <w:t>arcel in the South Hero Village Zoning District</w:t>
      </w:r>
      <w:r w:rsidR="0061568F">
        <w:rPr>
          <w:sz w:val="24"/>
          <w:szCs w:val="24"/>
        </w:rPr>
        <w:t xml:space="preserve"> with 168.80 feet of frontage on US RT 2.</w:t>
      </w:r>
    </w:p>
    <w:p w14:paraId="1829B0B1" w14:textId="50171120" w:rsidR="007E1686" w:rsidRDefault="002E3C48" w:rsidP="00510C1E">
      <w:pPr>
        <w:pStyle w:val="ListParagraph"/>
        <w:numPr>
          <w:ilvl w:val="0"/>
          <w:numId w:val="4"/>
        </w:numPr>
        <w:spacing w:after="0"/>
        <w:rPr>
          <w:sz w:val="24"/>
          <w:szCs w:val="24"/>
        </w:rPr>
      </w:pPr>
      <w:r w:rsidRPr="007E1686">
        <w:rPr>
          <w:sz w:val="24"/>
          <w:szCs w:val="24"/>
        </w:rPr>
        <w:t xml:space="preserve">The </w:t>
      </w:r>
      <w:r w:rsidR="001670CB" w:rsidRPr="007E1686">
        <w:rPr>
          <w:sz w:val="24"/>
          <w:szCs w:val="24"/>
        </w:rPr>
        <w:t>18</w:t>
      </w:r>
      <w:r w:rsidR="0027373B">
        <w:rPr>
          <w:sz w:val="24"/>
          <w:szCs w:val="24"/>
        </w:rPr>
        <w:t>10</w:t>
      </w:r>
      <w:r w:rsidR="001670CB" w:rsidRPr="007E1686">
        <w:rPr>
          <w:sz w:val="24"/>
          <w:szCs w:val="24"/>
        </w:rPr>
        <w:t xml:space="preserve"> </w:t>
      </w:r>
      <w:r w:rsidR="000C52CA">
        <w:rPr>
          <w:sz w:val="24"/>
          <w:szCs w:val="24"/>
        </w:rPr>
        <w:t xml:space="preserve">2-story </w:t>
      </w:r>
      <w:r w:rsidR="001670CB" w:rsidRPr="007E1686">
        <w:rPr>
          <w:sz w:val="24"/>
          <w:szCs w:val="24"/>
        </w:rPr>
        <w:t xml:space="preserve">home is conforming to the </w:t>
      </w:r>
      <w:r w:rsidR="00333BB6" w:rsidRPr="007E1686">
        <w:rPr>
          <w:sz w:val="24"/>
          <w:szCs w:val="24"/>
        </w:rPr>
        <w:t>village district minimum setbacks.  The Applicant is requesting a waiver to add a</w:t>
      </w:r>
      <w:r w:rsidR="000C52CA">
        <w:rPr>
          <w:sz w:val="24"/>
          <w:szCs w:val="24"/>
        </w:rPr>
        <w:t xml:space="preserve"> single-level</w:t>
      </w:r>
      <w:r w:rsidR="007E1686">
        <w:rPr>
          <w:sz w:val="24"/>
          <w:szCs w:val="24"/>
        </w:rPr>
        <w:t xml:space="preserve"> 8’ x 30’</w:t>
      </w:r>
      <w:r w:rsidR="00333BB6" w:rsidRPr="007E1686">
        <w:rPr>
          <w:sz w:val="24"/>
          <w:szCs w:val="24"/>
        </w:rPr>
        <w:t xml:space="preserve"> porch on the south side of the structure that will extend into the US RT 2 setback.</w:t>
      </w:r>
    </w:p>
    <w:p w14:paraId="12665854" w14:textId="5EAC1BD6" w:rsidR="002E3C48" w:rsidRDefault="007E1686" w:rsidP="00510C1E">
      <w:pPr>
        <w:pStyle w:val="ListParagraph"/>
        <w:numPr>
          <w:ilvl w:val="0"/>
          <w:numId w:val="4"/>
        </w:numPr>
        <w:spacing w:after="0"/>
        <w:rPr>
          <w:sz w:val="24"/>
          <w:szCs w:val="24"/>
        </w:rPr>
      </w:pPr>
      <w:r>
        <w:rPr>
          <w:sz w:val="24"/>
          <w:szCs w:val="24"/>
        </w:rPr>
        <w:t>The south boundary of the property is the edge of the RT 2 ROW.</w:t>
      </w:r>
      <w:r w:rsidR="002E3C48" w:rsidRPr="007E1686">
        <w:rPr>
          <w:sz w:val="24"/>
          <w:szCs w:val="24"/>
        </w:rPr>
        <w:t xml:space="preserve"> </w:t>
      </w:r>
    </w:p>
    <w:p w14:paraId="0BB4CC0B" w14:textId="03B76427" w:rsidR="0027373B" w:rsidRDefault="0027373B" w:rsidP="00510C1E">
      <w:pPr>
        <w:pStyle w:val="ListParagraph"/>
        <w:numPr>
          <w:ilvl w:val="0"/>
          <w:numId w:val="4"/>
        </w:numPr>
        <w:spacing w:after="0"/>
        <w:rPr>
          <w:sz w:val="24"/>
          <w:szCs w:val="24"/>
        </w:rPr>
      </w:pPr>
      <w:r>
        <w:rPr>
          <w:sz w:val="24"/>
          <w:szCs w:val="24"/>
        </w:rPr>
        <w:t>The width of the right-of-way of US RT 2 in South Hero Village is 66 feet.</w:t>
      </w:r>
      <w:r w:rsidR="006D51B5">
        <w:rPr>
          <w:sz w:val="24"/>
          <w:szCs w:val="24"/>
        </w:rPr>
        <w:t xml:space="preserve"> </w:t>
      </w:r>
    </w:p>
    <w:p w14:paraId="1DE21981" w14:textId="5CC39AD5" w:rsidR="0061568F" w:rsidRDefault="0061568F" w:rsidP="00510C1E">
      <w:pPr>
        <w:pStyle w:val="ListParagraph"/>
        <w:numPr>
          <w:ilvl w:val="0"/>
          <w:numId w:val="4"/>
        </w:numPr>
        <w:spacing w:after="0"/>
        <w:rPr>
          <w:sz w:val="24"/>
          <w:szCs w:val="24"/>
        </w:rPr>
      </w:pPr>
      <w:r>
        <w:rPr>
          <w:sz w:val="24"/>
          <w:szCs w:val="24"/>
        </w:rPr>
        <w:t>The Applicant submitted a photograph found at the South Hero Bicentennial Museum</w:t>
      </w:r>
      <w:r w:rsidR="000C52CA">
        <w:rPr>
          <w:sz w:val="24"/>
          <w:szCs w:val="24"/>
        </w:rPr>
        <w:t>, taken approximately 120 years ago,</w:t>
      </w:r>
      <w:r>
        <w:rPr>
          <w:sz w:val="24"/>
          <w:szCs w:val="24"/>
        </w:rPr>
        <w:t xml:space="preserve"> </w:t>
      </w:r>
      <w:r w:rsidR="000C52CA">
        <w:rPr>
          <w:sz w:val="24"/>
          <w:szCs w:val="24"/>
        </w:rPr>
        <w:t>showing</w:t>
      </w:r>
      <w:r>
        <w:rPr>
          <w:sz w:val="24"/>
          <w:szCs w:val="24"/>
        </w:rPr>
        <w:t xml:space="preserve"> the Fifield home with a porch</w:t>
      </w:r>
      <w:r w:rsidR="000C52CA">
        <w:rPr>
          <w:sz w:val="24"/>
          <w:szCs w:val="24"/>
        </w:rPr>
        <w:t xml:space="preserve"> across the south face of the structure.</w:t>
      </w:r>
    </w:p>
    <w:p w14:paraId="459FF910" w14:textId="51AAC52F" w:rsidR="0059547A" w:rsidRDefault="00D322D7" w:rsidP="00510C1E">
      <w:pPr>
        <w:pStyle w:val="ListParagraph"/>
        <w:numPr>
          <w:ilvl w:val="0"/>
          <w:numId w:val="4"/>
        </w:numPr>
        <w:spacing w:after="0"/>
        <w:rPr>
          <w:sz w:val="24"/>
          <w:szCs w:val="24"/>
        </w:rPr>
      </w:pPr>
      <w:r>
        <w:rPr>
          <w:sz w:val="24"/>
          <w:szCs w:val="24"/>
        </w:rPr>
        <w:t>The existing home is 12’10” from the south boundary.  The proposal will extend 5’2” into the setback to the ROW</w:t>
      </w:r>
      <w:r w:rsidR="0059547A">
        <w:rPr>
          <w:sz w:val="24"/>
          <w:szCs w:val="24"/>
        </w:rPr>
        <w:t>, 4’10” from the edge of the ROW.</w:t>
      </w:r>
      <w:r>
        <w:rPr>
          <w:sz w:val="24"/>
          <w:szCs w:val="24"/>
        </w:rPr>
        <w:t xml:space="preserve"> </w:t>
      </w:r>
      <w:r w:rsidR="0059547A">
        <w:rPr>
          <w:sz w:val="24"/>
          <w:szCs w:val="24"/>
        </w:rPr>
        <w:t xml:space="preserve">  The distance to the sidewalk, </w:t>
      </w:r>
      <w:r w:rsidR="002F39D3">
        <w:rPr>
          <w:sz w:val="24"/>
          <w:szCs w:val="24"/>
        </w:rPr>
        <w:t xml:space="preserve">which is </w:t>
      </w:r>
      <w:r w:rsidR="0059547A">
        <w:rPr>
          <w:sz w:val="24"/>
          <w:szCs w:val="24"/>
        </w:rPr>
        <w:t>within the RT 2 ROW, will be 10 feet.</w:t>
      </w:r>
    </w:p>
    <w:p w14:paraId="0234D69B" w14:textId="13857E26" w:rsidR="007E1686" w:rsidRDefault="0059547A" w:rsidP="00510C1E">
      <w:pPr>
        <w:pStyle w:val="ListParagraph"/>
        <w:numPr>
          <w:ilvl w:val="0"/>
          <w:numId w:val="4"/>
        </w:numPr>
        <w:spacing w:after="0"/>
        <w:rPr>
          <w:sz w:val="24"/>
          <w:szCs w:val="24"/>
        </w:rPr>
      </w:pPr>
      <w:r>
        <w:rPr>
          <w:sz w:val="24"/>
          <w:szCs w:val="24"/>
        </w:rPr>
        <w:t>The proposal will</w:t>
      </w:r>
      <w:r w:rsidR="00D322D7">
        <w:rPr>
          <w:sz w:val="24"/>
          <w:szCs w:val="24"/>
        </w:rPr>
        <w:t xml:space="preserve"> add 156sf of non-conforming area to the footprint.   This is the total additional footprint of the roof area beyond the existing roof drip line.</w:t>
      </w:r>
    </w:p>
    <w:p w14:paraId="5B8A2B4D" w14:textId="77777777" w:rsidR="0027373B" w:rsidRDefault="0061568F" w:rsidP="00510C1E">
      <w:pPr>
        <w:pStyle w:val="ListParagraph"/>
        <w:numPr>
          <w:ilvl w:val="0"/>
          <w:numId w:val="4"/>
        </w:numPr>
        <w:spacing w:after="0"/>
        <w:rPr>
          <w:sz w:val="24"/>
          <w:szCs w:val="24"/>
        </w:rPr>
      </w:pPr>
      <w:r>
        <w:rPr>
          <w:sz w:val="24"/>
          <w:szCs w:val="24"/>
        </w:rPr>
        <w:t>Vermont Electrical Co-op</w:t>
      </w:r>
      <w:r w:rsidR="000C52CA">
        <w:rPr>
          <w:sz w:val="24"/>
          <w:szCs w:val="24"/>
        </w:rPr>
        <w:t xml:space="preserve"> notified the Applicant that the</w:t>
      </w:r>
      <w:r w:rsidR="0027373B">
        <w:rPr>
          <w:sz w:val="24"/>
          <w:szCs w:val="24"/>
        </w:rPr>
        <w:t xml:space="preserve"> roof of the proposed porch meets the necessary National Electric Safety Code clearance requirements.</w:t>
      </w:r>
    </w:p>
    <w:p w14:paraId="28232863" w14:textId="2D93C5ED" w:rsidR="0061568F" w:rsidRPr="007E1686" w:rsidRDefault="0059547A" w:rsidP="00510C1E">
      <w:pPr>
        <w:pStyle w:val="ListParagraph"/>
        <w:numPr>
          <w:ilvl w:val="0"/>
          <w:numId w:val="4"/>
        </w:numPr>
        <w:spacing w:after="0"/>
        <w:rPr>
          <w:sz w:val="24"/>
          <w:szCs w:val="24"/>
        </w:rPr>
      </w:pPr>
      <w:r>
        <w:rPr>
          <w:sz w:val="24"/>
          <w:szCs w:val="24"/>
        </w:rPr>
        <w:t>Abutting home/business owners on both sides of RT 2 submitted emails of support for the proposal.</w:t>
      </w:r>
    </w:p>
    <w:p w14:paraId="03A42930" w14:textId="77777777" w:rsidR="002E3C48" w:rsidRDefault="002E3C48" w:rsidP="002E3C48">
      <w:pPr>
        <w:spacing w:after="0"/>
        <w:ind w:left="360"/>
        <w:rPr>
          <w:sz w:val="24"/>
          <w:szCs w:val="24"/>
        </w:rPr>
      </w:pPr>
    </w:p>
    <w:p w14:paraId="4BCCC45E" w14:textId="3E54FDE4" w:rsidR="002E3C48" w:rsidRDefault="002E3C48" w:rsidP="002E3C48">
      <w:pPr>
        <w:spacing w:after="0"/>
        <w:rPr>
          <w:sz w:val="24"/>
          <w:szCs w:val="24"/>
        </w:rPr>
      </w:pPr>
      <w:r>
        <w:rPr>
          <w:sz w:val="24"/>
          <w:szCs w:val="24"/>
        </w:rPr>
        <w:t xml:space="preserve">DRB Chair Tim Maxham closed the hearing on </w:t>
      </w:r>
      <w:r w:rsidR="002F39D3">
        <w:rPr>
          <w:sz w:val="24"/>
          <w:szCs w:val="24"/>
        </w:rPr>
        <w:t>May 25</w:t>
      </w:r>
      <w:r>
        <w:rPr>
          <w:sz w:val="24"/>
          <w:szCs w:val="24"/>
        </w:rPr>
        <w:t>, 2022.</w:t>
      </w:r>
    </w:p>
    <w:p w14:paraId="09963141" w14:textId="77777777" w:rsidR="002E3C48" w:rsidRDefault="002E3C48" w:rsidP="002E3C48">
      <w:pPr>
        <w:spacing w:after="0"/>
        <w:rPr>
          <w:sz w:val="24"/>
          <w:szCs w:val="24"/>
        </w:rPr>
      </w:pPr>
    </w:p>
    <w:p w14:paraId="61EC3BB1" w14:textId="77777777" w:rsidR="002E3C48" w:rsidRDefault="002E3C48" w:rsidP="002E3C48">
      <w:pPr>
        <w:spacing w:after="0"/>
        <w:rPr>
          <w:b/>
          <w:sz w:val="24"/>
          <w:szCs w:val="24"/>
        </w:rPr>
      </w:pPr>
      <w:r>
        <w:rPr>
          <w:b/>
          <w:sz w:val="24"/>
          <w:szCs w:val="24"/>
        </w:rPr>
        <w:t>Conclusions of Law:</w:t>
      </w:r>
    </w:p>
    <w:p w14:paraId="1F840B6F" w14:textId="63632901" w:rsidR="002E3C48" w:rsidRDefault="002E3C48" w:rsidP="002E3C48">
      <w:pPr>
        <w:pStyle w:val="ListParagraph"/>
        <w:numPr>
          <w:ilvl w:val="0"/>
          <w:numId w:val="5"/>
        </w:numPr>
        <w:spacing w:after="0"/>
        <w:rPr>
          <w:sz w:val="24"/>
          <w:szCs w:val="24"/>
        </w:rPr>
      </w:pPr>
      <w:r>
        <w:rPr>
          <w:sz w:val="24"/>
          <w:szCs w:val="24"/>
        </w:rPr>
        <w:t>Per Section 305. (Setback Waiver</w:t>
      </w:r>
      <w:r w:rsidR="00B75C7F">
        <w:rPr>
          <w:sz w:val="24"/>
          <w:szCs w:val="24"/>
        </w:rPr>
        <w:t>)</w:t>
      </w:r>
      <w:r>
        <w:rPr>
          <w:sz w:val="24"/>
          <w:szCs w:val="24"/>
        </w:rPr>
        <w:t xml:space="preserve">, </w:t>
      </w:r>
      <w:r w:rsidR="00B75C7F">
        <w:rPr>
          <w:sz w:val="24"/>
          <w:szCs w:val="24"/>
        </w:rPr>
        <w:t>structures in the Village and Shoreland Zoning Districts are eligible for setback waivers.</w:t>
      </w:r>
    </w:p>
    <w:p w14:paraId="6E28E80C" w14:textId="131C62D3" w:rsidR="00B75C7F" w:rsidRDefault="00B75C7F" w:rsidP="002E3C48">
      <w:pPr>
        <w:pStyle w:val="ListParagraph"/>
        <w:numPr>
          <w:ilvl w:val="0"/>
          <w:numId w:val="5"/>
        </w:numPr>
        <w:spacing w:after="0"/>
        <w:rPr>
          <w:sz w:val="24"/>
          <w:szCs w:val="24"/>
        </w:rPr>
      </w:pPr>
      <w:r>
        <w:rPr>
          <w:sz w:val="24"/>
          <w:szCs w:val="24"/>
        </w:rPr>
        <w:t>Per Sec</w:t>
      </w:r>
      <w:r w:rsidR="006D51B5">
        <w:rPr>
          <w:sz w:val="24"/>
          <w:szCs w:val="24"/>
        </w:rPr>
        <w:t xml:space="preserve">tion 203 (Zoning Village Purposes – </w:t>
      </w:r>
      <w:r w:rsidR="001E1EBE">
        <w:rPr>
          <w:sz w:val="24"/>
          <w:szCs w:val="24"/>
        </w:rPr>
        <w:t>Village Districts</w:t>
      </w:r>
      <w:r w:rsidR="006D51B5">
        <w:rPr>
          <w:sz w:val="24"/>
          <w:szCs w:val="24"/>
        </w:rPr>
        <w:t xml:space="preserve">), </w:t>
      </w:r>
      <w:r w:rsidR="001E1EBE">
        <w:rPr>
          <w:sz w:val="24"/>
          <w:szCs w:val="24"/>
        </w:rPr>
        <w:t>“Historic buildings are a significant contributor to village character and should be preserved when possible.”</w:t>
      </w:r>
    </w:p>
    <w:p w14:paraId="27B76390" w14:textId="77777777" w:rsidR="002E3C48" w:rsidRDefault="002E3C48" w:rsidP="002E3C48">
      <w:pPr>
        <w:pStyle w:val="ListParagraph"/>
        <w:spacing w:after="0"/>
        <w:rPr>
          <w:sz w:val="24"/>
          <w:szCs w:val="24"/>
        </w:rPr>
      </w:pPr>
    </w:p>
    <w:p w14:paraId="417354AB" w14:textId="09639126" w:rsidR="002E3C48" w:rsidRDefault="002E3C48" w:rsidP="002E3C48">
      <w:pPr>
        <w:spacing w:after="0"/>
        <w:rPr>
          <w:sz w:val="24"/>
          <w:szCs w:val="24"/>
        </w:rPr>
      </w:pPr>
      <w:r>
        <w:rPr>
          <w:b/>
          <w:sz w:val="24"/>
          <w:szCs w:val="24"/>
        </w:rPr>
        <w:t xml:space="preserve">On </w:t>
      </w:r>
      <w:r w:rsidR="001E1EBE">
        <w:rPr>
          <w:b/>
          <w:sz w:val="24"/>
          <w:szCs w:val="24"/>
        </w:rPr>
        <w:t xml:space="preserve">June </w:t>
      </w:r>
      <w:r w:rsidR="0065784B">
        <w:rPr>
          <w:b/>
          <w:sz w:val="24"/>
          <w:szCs w:val="24"/>
        </w:rPr>
        <w:t>22</w:t>
      </w:r>
      <w:r>
        <w:rPr>
          <w:b/>
          <w:sz w:val="24"/>
          <w:szCs w:val="24"/>
        </w:rPr>
        <w:t>, 2022</w:t>
      </w:r>
      <w:r w:rsidR="00A10713">
        <w:rPr>
          <w:b/>
          <w:sz w:val="24"/>
          <w:szCs w:val="24"/>
        </w:rPr>
        <w:t>,</w:t>
      </w:r>
      <w:r>
        <w:rPr>
          <w:b/>
          <w:sz w:val="24"/>
          <w:szCs w:val="24"/>
        </w:rPr>
        <w:t xml:space="preserve"> </w:t>
      </w:r>
      <w:r w:rsidR="00A10713">
        <w:rPr>
          <w:b/>
          <w:sz w:val="24"/>
          <w:szCs w:val="24"/>
        </w:rPr>
        <w:t>J. Brightwell</w:t>
      </w:r>
      <w:r>
        <w:rPr>
          <w:b/>
          <w:sz w:val="24"/>
          <w:szCs w:val="24"/>
        </w:rPr>
        <w:t xml:space="preserve"> moved to approve the application, with the findings of fact listed and with the following Conditions; </w:t>
      </w:r>
      <w:r w:rsidR="00A10713">
        <w:rPr>
          <w:b/>
          <w:sz w:val="24"/>
          <w:szCs w:val="24"/>
        </w:rPr>
        <w:t>E. Reid</w:t>
      </w:r>
      <w:r>
        <w:rPr>
          <w:b/>
          <w:sz w:val="24"/>
          <w:szCs w:val="24"/>
        </w:rPr>
        <w:t xml:space="preserve"> second. </w:t>
      </w:r>
      <w:r>
        <w:rPr>
          <w:sz w:val="24"/>
          <w:szCs w:val="24"/>
        </w:rPr>
        <w:t xml:space="preserve"> </w:t>
      </w:r>
      <w:r>
        <w:rPr>
          <w:b/>
          <w:sz w:val="24"/>
          <w:szCs w:val="24"/>
        </w:rPr>
        <w:t xml:space="preserve">Whereas, Final Approval was </w:t>
      </w:r>
      <w:r>
        <w:rPr>
          <w:b/>
          <w:sz w:val="24"/>
          <w:szCs w:val="24"/>
        </w:rPr>
        <w:lastRenderedPageBreak/>
        <w:t>granted to the application with Conditions,</w:t>
      </w:r>
      <w:r>
        <w:rPr>
          <w:sz w:val="24"/>
          <w:szCs w:val="24"/>
        </w:rPr>
        <w:t xml:space="preserve"> with the following people voting in the affirmative:  T. Maxham; </w:t>
      </w:r>
      <w:r w:rsidR="001E1EBE">
        <w:rPr>
          <w:sz w:val="24"/>
          <w:szCs w:val="24"/>
        </w:rPr>
        <w:t>S. Corbin; E. Reid</w:t>
      </w:r>
      <w:r>
        <w:rPr>
          <w:sz w:val="24"/>
          <w:szCs w:val="24"/>
        </w:rPr>
        <w:t>; and J. Brightwell.</w:t>
      </w:r>
    </w:p>
    <w:p w14:paraId="0083F74C" w14:textId="77777777" w:rsidR="002E3C48" w:rsidRDefault="002E3C48" w:rsidP="002E3C48">
      <w:pPr>
        <w:spacing w:after="0"/>
        <w:rPr>
          <w:sz w:val="24"/>
          <w:szCs w:val="24"/>
        </w:rPr>
      </w:pPr>
    </w:p>
    <w:p w14:paraId="61B2C38C" w14:textId="77777777" w:rsidR="002E3C48" w:rsidRDefault="002E3C48" w:rsidP="002E3C48">
      <w:pPr>
        <w:spacing w:after="0"/>
        <w:rPr>
          <w:sz w:val="24"/>
          <w:szCs w:val="24"/>
        </w:rPr>
      </w:pPr>
      <w:r>
        <w:rPr>
          <w:b/>
          <w:sz w:val="24"/>
          <w:szCs w:val="24"/>
        </w:rPr>
        <w:t>Conditions:</w:t>
      </w:r>
      <w:r>
        <w:rPr>
          <w:sz w:val="24"/>
          <w:szCs w:val="24"/>
        </w:rPr>
        <w:t xml:space="preserve">    </w:t>
      </w:r>
    </w:p>
    <w:p w14:paraId="2204C0C2" w14:textId="698081A0" w:rsidR="002E3C48" w:rsidRDefault="002E3C48" w:rsidP="002E3C48">
      <w:pPr>
        <w:pStyle w:val="ListParagraph"/>
        <w:numPr>
          <w:ilvl w:val="0"/>
          <w:numId w:val="6"/>
        </w:numPr>
        <w:spacing w:after="0"/>
        <w:rPr>
          <w:sz w:val="24"/>
          <w:szCs w:val="24"/>
        </w:rPr>
      </w:pPr>
      <w:r>
        <w:rPr>
          <w:sz w:val="24"/>
          <w:szCs w:val="24"/>
        </w:rPr>
        <w:t>Applicants shall comply with all evidence as presented at the hearing or as amended by this decision.</w:t>
      </w:r>
    </w:p>
    <w:p w14:paraId="01F9B9A9" w14:textId="7D696FEE" w:rsidR="00601A87" w:rsidRDefault="00601A87" w:rsidP="002E3C48">
      <w:pPr>
        <w:pStyle w:val="ListParagraph"/>
        <w:numPr>
          <w:ilvl w:val="0"/>
          <w:numId w:val="6"/>
        </w:numPr>
        <w:spacing w:after="0"/>
        <w:rPr>
          <w:sz w:val="24"/>
          <w:szCs w:val="24"/>
        </w:rPr>
      </w:pPr>
      <w:r>
        <w:rPr>
          <w:sz w:val="24"/>
          <w:szCs w:val="24"/>
        </w:rPr>
        <w:t xml:space="preserve">Proposed porch addition shall extend no </w:t>
      </w:r>
      <w:r w:rsidR="008972BD">
        <w:rPr>
          <w:sz w:val="24"/>
          <w:szCs w:val="24"/>
        </w:rPr>
        <w:t>more than 5’2” into the US RT 2 right-of-way setback.</w:t>
      </w:r>
    </w:p>
    <w:p w14:paraId="2B638AD3" w14:textId="77777777" w:rsidR="002E3C48" w:rsidRDefault="002E3C48" w:rsidP="002E3C48">
      <w:pPr>
        <w:pStyle w:val="ListParagraph"/>
        <w:numPr>
          <w:ilvl w:val="0"/>
          <w:numId w:val="6"/>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24D18AE9" w14:textId="77777777" w:rsidR="002E3C48" w:rsidRDefault="002E3C48" w:rsidP="002E3C48">
      <w:pPr>
        <w:spacing w:after="0"/>
        <w:rPr>
          <w:sz w:val="24"/>
          <w:szCs w:val="24"/>
        </w:rPr>
      </w:pPr>
    </w:p>
    <w:p w14:paraId="15CAC059" w14:textId="4B9BE204" w:rsidR="002E3C48" w:rsidRDefault="002E3C48" w:rsidP="002E3C48">
      <w:pPr>
        <w:spacing w:after="0"/>
        <w:rPr>
          <w:b/>
          <w:sz w:val="20"/>
          <w:szCs w:val="20"/>
        </w:rPr>
      </w:pPr>
      <w:r>
        <w:rPr>
          <w:sz w:val="24"/>
          <w:szCs w:val="24"/>
        </w:rPr>
        <w:t xml:space="preserve"> </w:t>
      </w:r>
      <w:r>
        <w:rPr>
          <w:b/>
          <w:sz w:val="28"/>
          <w:szCs w:val="28"/>
        </w:rPr>
        <w:t xml:space="preserve">    Dated: </w:t>
      </w:r>
      <w:r w:rsidR="00DD50F5">
        <w:rPr>
          <w:b/>
          <w:sz w:val="28"/>
          <w:szCs w:val="28"/>
        </w:rPr>
        <w:t xml:space="preserve">JUNE </w:t>
      </w:r>
      <w:r w:rsidR="00A10713">
        <w:rPr>
          <w:b/>
          <w:sz w:val="28"/>
          <w:szCs w:val="28"/>
        </w:rPr>
        <w:t>22</w:t>
      </w:r>
      <w:r>
        <w:rPr>
          <w:b/>
          <w:sz w:val="28"/>
          <w:szCs w:val="28"/>
        </w:rPr>
        <w:t>, 2022</w:t>
      </w:r>
    </w:p>
    <w:p w14:paraId="1E41D68C" w14:textId="77777777" w:rsidR="002E3C48" w:rsidRDefault="002E3C48" w:rsidP="002E3C48">
      <w:pPr>
        <w:spacing w:after="0"/>
        <w:rPr>
          <w:b/>
          <w:sz w:val="18"/>
          <w:szCs w:val="18"/>
        </w:rPr>
      </w:pPr>
    </w:p>
    <w:p w14:paraId="5ED085E2" w14:textId="77777777" w:rsidR="002E3C48" w:rsidRDefault="002E3C48" w:rsidP="002E3C48">
      <w:pPr>
        <w:spacing w:after="0"/>
        <w:rPr>
          <w:b/>
          <w:sz w:val="18"/>
          <w:szCs w:val="18"/>
        </w:rPr>
      </w:pPr>
    </w:p>
    <w:p w14:paraId="00AD24D1" w14:textId="77777777" w:rsidR="002E3C48" w:rsidRDefault="002E3C48" w:rsidP="002E3C48">
      <w:pPr>
        <w:spacing w:after="0"/>
        <w:rPr>
          <w:b/>
          <w:sz w:val="24"/>
          <w:szCs w:val="24"/>
        </w:rPr>
      </w:pPr>
      <w:r>
        <w:rPr>
          <w:b/>
          <w:sz w:val="24"/>
          <w:szCs w:val="24"/>
        </w:rPr>
        <w:t xml:space="preserve">           _________________________________________</w:t>
      </w:r>
    </w:p>
    <w:p w14:paraId="0D6A271E" w14:textId="77777777" w:rsidR="002E3C48" w:rsidRDefault="002E3C48" w:rsidP="002E3C48">
      <w:pPr>
        <w:spacing w:after="0"/>
        <w:rPr>
          <w:b/>
          <w:sz w:val="20"/>
          <w:szCs w:val="20"/>
        </w:rPr>
      </w:pPr>
      <w:r>
        <w:rPr>
          <w:b/>
          <w:sz w:val="18"/>
          <w:szCs w:val="18"/>
        </w:rPr>
        <w:tab/>
      </w:r>
      <w:r>
        <w:rPr>
          <w:b/>
          <w:sz w:val="18"/>
          <w:szCs w:val="18"/>
        </w:rPr>
        <w:tab/>
      </w:r>
      <w:r>
        <w:rPr>
          <w:b/>
          <w:sz w:val="20"/>
          <w:szCs w:val="20"/>
        </w:rPr>
        <w:t>For the Development Review Board</w:t>
      </w:r>
    </w:p>
    <w:p w14:paraId="3C6B5E6D" w14:textId="77777777" w:rsidR="002E3C48" w:rsidRDefault="002E3C48" w:rsidP="002E3C48">
      <w:pPr>
        <w:spacing w:after="0"/>
        <w:rPr>
          <w:b/>
          <w:sz w:val="18"/>
          <w:szCs w:val="18"/>
        </w:rPr>
      </w:pPr>
    </w:p>
    <w:p w14:paraId="7E12473C" w14:textId="77777777" w:rsidR="002E3C48" w:rsidRDefault="002E3C48" w:rsidP="002E3C48">
      <w:pPr>
        <w:spacing w:after="0"/>
        <w:rPr>
          <w:sz w:val="20"/>
          <w:szCs w:val="20"/>
        </w:rPr>
      </w:pPr>
    </w:p>
    <w:p w14:paraId="1E43C3D5" w14:textId="77777777" w:rsidR="002E3C48" w:rsidRDefault="002E3C48" w:rsidP="002E3C48">
      <w:pPr>
        <w:pStyle w:val="Heading2"/>
        <w:spacing w:after="0"/>
      </w:pPr>
      <w:r>
        <w:t>APPEAL RIGHTS</w:t>
      </w:r>
    </w:p>
    <w:p w14:paraId="28BC7FBF" w14:textId="77777777" w:rsidR="002E3C48" w:rsidRDefault="002E3C48" w:rsidP="002E3C48">
      <w:pPr>
        <w:spacing w:after="0"/>
        <w:rPr>
          <w:b/>
          <w:sz w:val="20"/>
          <w:szCs w:val="20"/>
        </w:rPr>
      </w:pPr>
      <w:r>
        <w:rPr>
          <w:sz w:val="20"/>
          <w:szCs w:val="20"/>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A copy of this appeal must be filed with the Zoning Administrator or the Town Clerk within thirty (30) days from the date of issuance. </w:t>
      </w:r>
    </w:p>
    <w:p w14:paraId="627D9328" w14:textId="77777777" w:rsidR="002E3C48" w:rsidRDefault="002E3C48" w:rsidP="002E3C48"/>
    <w:p w14:paraId="06835E65" w14:textId="77777777" w:rsidR="002E3C48" w:rsidRDefault="002E3C48" w:rsidP="002E3C48"/>
    <w:p w14:paraId="65F8CB6A" w14:textId="77777777" w:rsidR="003B3992" w:rsidRDefault="007631E1"/>
    <w:sectPr w:rsidR="003B3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C0F5" w14:textId="77777777" w:rsidR="007631E1" w:rsidRDefault="007631E1" w:rsidP="00E6425D">
      <w:pPr>
        <w:spacing w:after="0" w:line="240" w:lineRule="auto"/>
      </w:pPr>
      <w:r>
        <w:separator/>
      </w:r>
    </w:p>
  </w:endnote>
  <w:endnote w:type="continuationSeparator" w:id="0">
    <w:p w14:paraId="5137F260" w14:textId="77777777" w:rsidR="007631E1" w:rsidRDefault="007631E1" w:rsidP="00E6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138B" w14:textId="77777777" w:rsidR="00E6425D" w:rsidRDefault="00E6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49811"/>
      <w:docPartObj>
        <w:docPartGallery w:val="Page Numbers (Bottom of Page)"/>
        <w:docPartUnique/>
      </w:docPartObj>
    </w:sdtPr>
    <w:sdtEndPr/>
    <w:sdtContent>
      <w:sdt>
        <w:sdtPr>
          <w:id w:val="-1769616900"/>
          <w:docPartObj>
            <w:docPartGallery w:val="Page Numbers (Top of Page)"/>
            <w:docPartUnique/>
          </w:docPartObj>
        </w:sdtPr>
        <w:sdtEndPr/>
        <w:sdtContent>
          <w:p w14:paraId="03F27967" w14:textId="77777777" w:rsidR="00E6425D" w:rsidRDefault="00E6425D">
            <w:pPr>
              <w:pStyle w:val="Footer"/>
              <w:jc w:val="right"/>
            </w:pPr>
          </w:p>
          <w:p w14:paraId="79980F7B" w14:textId="0C85CC12" w:rsidR="00E6425D" w:rsidRDefault="00E642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1A892F" w14:textId="77777777" w:rsidR="00E6425D" w:rsidRDefault="00E64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CC3" w14:textId="77777777" w:rsidR="00E6425D" w:rsidRDefault="00E6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099C" w14:textId="77777777" w:rsidR="007631E1" w:rsidRDefault="007631E1" w:rsidP="00E6425D">
      <w:pPr>
        <w:spacing w:after="0" w:line="240" w:lineRule="auto"/>
      </w:pPr>
      <w:r>
        <w:separator/>
      </w:r>
    </w:p>
  </w:footnote>
  <w:footnote w:type="continuationSeparator" w:id="0">
    <w:p w14:paraId="21E3B665" w14:textId="77777777" w:rsidR="007631E1" w:rsidRDefault="007631E1" w:rsidP="00E64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57A6" w14:textId="77777777" w:rsidR="00E6425D" w:rsidRDefault="00E64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8856" w14:textId="116A1B03" w:rsidR="001643A5" w:rsidRDefault="001643A5">
    <w:pPr>
      <w:spacing w:line="264" w:lineRule="auto"/>
    </w:pPr>
    <w:r>
      <w:rPr>
        <w:noProof/>
        <w:color w:val="000000"/>
      </w:rPr>
      <mc:AlternateContent>
        <mc:Choice Requires="wps">
          <w:drawing>
            <wp:anchor distT="0" distB="0" distL="114300" distR="114300" simplePos="0" relativeHeight="251657216" behindDoc="0" locked="0" layoutInCell="1" allowOverlap="1" wp14:anchorId="6B3C26E1" wp14:editId="7DAC65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B7E8C5" id="Rectangle 222"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06FF39578B994A9C8B5600BC0A6BD14F"/>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22-62-RT310 – Hayward waiver</w:t>
        </w:r>
      </w:sdtContent>
    </w:sdt>
  </w:p>
  <w:p w14:paraId="4D429B98" w14:textId="2F3D483D" w:rsidR="00E6425D" w:rsidRDefault="00E64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87F0" w14:textId="77777777" w:rsidR="00E6425D" w:rsidRDefault="00E64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93C"/>
    <w:multiLevelType w:val="hybridMultilevel"/>
    <w:tmpl w:val="37726980"/>
    <w:lvl w:ilvl="0" w:tplc="0B88AA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857EA3"/>
    <w:multiLevelType w:val="hybridMultilevel"/>
    <w:tmpl w:val="F47C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C9771D"/>
    <w:multiLevelType w:val="hybridMultilevel"/>
    <w:tmpl w:val="2710F0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7B0871"/>
    <w:multiLevelType w:val="hybridMultilevel"/>
    <w:tmpl w:val="3808025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9066E7"/>
    <w:multiLevelType w:val="hybridMultilevel"/>
    <w:tmpl w:val="57442534"/>
    <w:lvl w:ilvl="0" w:tplc="0FB4CE0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22197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6138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8514223">
    <w:abstractNumId w:val="0"/>
  </w:num>
  <w:num w:numId="4" w16cid:durableId="980813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656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5953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0933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48"/>
    <w:rsid w:val="000C52CA"/>
    <w:rsid w:val="001643A5"/>
    <w:rsid w:val="001670CB"/>
    <w:rsid w:val="001E1EBE"/>
    <w:rsid w:val="001E4E9F"/>
    <w:rsid w:val="0024349F"/>
    <w:rsid w:val="0027373B"/>
    <w:rsid w:val="002832E6"/>
    <w:rsid w:val="002E3C48"/>
    <w:rsid w:val="002F39D3"/>
    <w:rsid w:val="00333BB6"/>
    <w:rsid w:val="0039788A"/>
    <w:rsid w:val="0059547A"/>
    <w:rsid w:val="00601A87"/>
    <w:rsid w:val="0061568F"/>
    <w:rsid w:val="0065784B"/>
    <w:rsid w:val="0066395B"/>
    <w:rsid w:val="006D51B5"/>
    <w:rsid w:val="007017F7"/>
    <w:rsid w:val="007631E1"/>
    <w:rsid w:val="007E1686"/>
    <w:rsid w:val="008972BD"/>
    <w:rsid w:val="009A0A9D"/>
    <w:rsid w:val="00A10713"/>
    <w:rsid w:val="00B606BE"/>
    <w:rsid w:val="00B75C7F"/>
    <w:rsid w:val="00CE70DB"/>
    <w:rsid w:val="00D322D7"/>
    <w:rsid w:val="00DD50F5"/>
    <w:rsid w:val="00E6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90CEA"/>
  <w15:chartTrackingRefBased/>
  <w15:docId w15:val="{377FABD0-9012-45AF-9F51-7C3842B0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48"/>
    <w:pPr>
      <w:spacing w:line="252" w:lineRule="auto"/>
    </w:pPr>
  </w:style>
  <w:style w:type="paragraph" w:styleId="Heading2">
    <w:name w:val="heading 2"/>
    <w:basedOn w:val="Normal"/>
    <w:next w:val="Normal"/>
    <w:link w:val="Heading2Char"/>
    <w:semiHidden/>
    <w:unhideWhenUsed/>
    <w:qFormat/>
    <w:rsid w:val="002E3C48"/>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E3C48"/>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E3C48"/>
    <w:pPr>
      <w:ind w:left="720"/>
      <w:contextualSpacing/>
    </w:pPr>
  </w:style>
  <w:style w:type="paragraph" w:styleId="Header">
    <w:name w:val="header"/>
    <w:basedOn w:val="Normal"/>
    <w:link w:val="HeaderChar"/>
    <w:uiPriority w:val="99"/>
    <w:unhideWhenUsed/>
    <w:rsid w:val="00E6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5D"/>
  </w:style>
  <w:style w:type="paragraph" w:styleId="Footer">
    <w:name w:val="footer"/>
    <w:basedOn w:val="Normal"/>
    <w:link w:val="FooterChar"/>
    <w:uiPriority w:val="99"/>
    <w:unhideWhenUsed/>
    <w:rsid w:val="00E6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F39578B994A9C8B5600BC0A6BD14F"/>
        <w:category>
          <w:name w:val="General"/>
          <w:gallery w:val="placeholder"/>
        </w:category>
        <w:types>
          <w:type w:val="bbPlcHdr"/>
        </w:types>
        <w:behaviors>
          <w:behavior w:val="content"/>
        </w:behaviors>
        <w:guid w:val="{33638F4B-459F-411D-8984-4F47EABF5262}"/>
      </w:docPartPr>
      <w:docPartBody>
        <w:p w:rsidR="0011480A" w:rsidRDefault="00B516E1" w:rsidP="00B516E1">
          <w:pPr>
            <w:pStyle w:val="06FF39578B994A9C8B5600BC0A6BD14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69"/>
    <w:rsid w:val="000E6B92"/>
    <w:rsid w:val="0011480A"/>
    <w:rsid w:val="00173E69"/>
    <w:rsid w:val="002B02F0"/>
    <w:rsid w:val="00592055"/>
    <w:rsid w:val="00B246A2"/>
    <w:rsid w:val="00B516E1"/>
    <w:rsid w:val="00C4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F39578B994A9C8B5600BC0A6BD14F">
    <w:name w:val="06FF39578B994A9C8B5600BC0A6BD14F"/>
    <w:rsid w:val="00B5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22-62-RT310 – Hayward waiver</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22-62-RT310 – Hayward waiver</dc:title>
  <dc:subject/>
  <dc:creator>South Hero Zoning</dc:creator>
  <cp:keywords/>
  <dc:description/>
  <cp:lastModifiedBy>South Hero Zoning</cp:lastModifiedBy>
  <cp:revision>8</cp:revision>
  <dcterms:created xsi:type="dcterms:W3CDTF">2022-06-08T00:23:00Z</dcterms:created>
  <dcterms:modified xsi:type="dcterms:W3CDTF">2022-06-23T01:38:00Z</dcterms:modified>
</cp:coreProperties>
</file>