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6B2B" w14:textId="77777777" w:rsidR="005A2469" w:rsidRDefault="005A2469" w:rsidP="005A24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SOUTH HERO, VERMONT</w:t>
      </w:r>
    </w:p>
    <w:p w14:paraId="015F3B19" w14:textId="77777777" w:rsidR="005A2469" w:rsidRDefault="005A2469" w:rsidP="005A24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Development Review Board</w:t>
      </w:r>
    </w:p>
    <w:p w14:paraId="3D6AE5D4" w14:textId="22AC828C" w:rsidR="005A2469" w:rsidRDefault="005A2469" w:rsidP="005A2469">
      <w:pPr>
        <w:spacing w:after="0"/>
        <w:ind w:left="216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 w:rsidR="00DC778C">
        <w:rPr>
          <w:b/>
          <w:sz w:val="28"/>
          <w:szCs w:val="28"/>
        </w:rPr>
        <w:t xml:space="preserve">      </w:t>
      </w:r>
      <w:r>
        <w:rPr>
          <w:b/>
          <w:sz w:val="24"/>
          <w:szCs w:val="24"/>
        </w:rPr>
        <w:t>Dated January 26, 2022</w:t>
      </w:r>
    </w:p>
    <w:p w14:paraId="48FFD540" w14:textId="77777777" w:rsidR="005A2469" w:rsidRDefault="005A2469" w:rsidP="005A2469">
      <w:pPr>
        <w:spacing w:after="0"/>
        <w:jc w:val="center"/>
        <w:rPr>
          <w:b/>
          <w:sz w:val="28"/>
          <w:szCs w:val="28"/>
        </w:rPr>
      </w:pPr>
    </w:p>
    <w:p w14:paraId="19A4D863" w14:textId="77777777" w:rsidR="005A2469" w:rsidRDefault="005A2469" w:rsidP="005A2469">
      <w:pPr>
        <w:spacing w:after="0"/>
        <w:jc w:val="center"/>
        <w:rPr>
          <w:b/>
          <w:sz w:val="24"/>
          <w:szCs w:val="24"/>
        </w:rPr>
      </w:pPr>
    </w:p>
    <w:p w14:paraId="640E0329" w14:textId="77777777" w:rsidR="005A2469" w:rsidRDefault="005A2469" w:rsidP="005A246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</w:t>
      </w:r>
    </w:p>
    <w:p w14:paraId="089C3AC0" w14:textId="40A007CB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4B8A">
        <w:rPr>
          <w:b/>
          <w:sz w:val="24"/>
          <w:szCs w:val="24"/>
        </w:rPr>
        <w:t>LPD Holdings (Pierre LeBlanc)</w:t>
      </w:r>
    </w:p>
    <w:p w14:paraId="6C869F14" w14:textId="496189FE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 w:rsidR="00E54B8A">
        <w:rPr>
          <w:b/>
          <w:sz w:val="24"/>
          <w:szCs w:val="24"/>
        </w:rPr>
        <w:t>27 Point Farm Rd.</w:t>
      </w:r>
      <w:r>
        <w:rPr>
          <w:b/>
          <w:sz w:val="24"/>
          <w:szCs w:val="24"/>
        </w:rPr>
        <w:t xml:space="preserve">, </w:t>
      </w:r>
      <w:r w:rsidR="00E54B8A">
        <w:rPr>
          <w:b/>
          <w:sz w:val="24"/>
          <w:szCs w:val="24"/>
        </w:rPr>
        <w:t>Grand Isle, VT 0458</w:t>
      </w:r>
    </w:p>
    <w:p w14:paraId="0391BF7A" w14:textId="77777777" w:rsidR="005A2469" w:rsidRDefault="005A2469" w:rsidP="005A2469">
      <w:pPr>
        <w:spacing w:after="0"/>
        <w:rPr>
          <w:b/>
          <w:sz w:val="24"/>
          <w:szCs w:val="24"/>
        </w:rPr>
      </w:pPr>
    </w:p>
    <w:p w14:paraId="096B4C84" w14:textId="77777777" w:rsidR="005A2469" w:rsidRDefault="005A2469" w:rsidP="005A246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LANDOWNER</w:t>
      </w:r>
    </w:p>
    <w:p w14:paraId="74632955" w14:textId="7324B252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4B8A">
        <w:rPr>
          <w:b/>
          <w:sz w:val="24"/>
          <w:szCs w:val="24"/>
        </w:rPr>
        <w:t>same</w:t>
      </w:r>
    </w:p>
    <w:p w14:paraId="1B35A9BA" w14:textId="77777777" w:rsidR="005A2469" w:rsidRDefault="005A2469" w:rsidP="005A2469">
      <w:pPr>
        <w:spacing w:after="0"/>
        <w:rPr>
          <w:b/>
          <w:sz w:val="24"/>
          <w:szCs w:val="24"/>
        </w:rPr>
      </w:pPr>
    </w:p>
    <w:p w14:paraId="74BD042E" w14:textId="77777777" w:rsidR="005A2469" w:rsidRDefault="005A2469" w:rsidP="005A246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12566115" w14:textId="77777777" w:rsidR="005A2469" w:rsidRDefault="005A2469" w:rsidP="005A2469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Type:</w:t>
      </w:r>
      <w:r>
        <w:rPr>
          <w:b/>
          <w:sz w:val="24"/>
          <w:szCs w:val="24"/>
        </w:rPr>
        <w:tab/>
        <w:t>Preliminary Site Plan Review</w:t>
      </w:r>
    </w:p>
    <w:p w14:paraId="16D72C96" w14:textId="77777777" w:rsidR="005A2469" w:rsidRDefault="005A2469" w:rsidP="005A2469">
      <w:pPr>
        <w:spacing w:after="0"/>
        <w:ind w:left="1440" w:hanging="1440"/>
        <w:rPr>
          <w:b/>
          <w:sz w:val="24"/>
          <w:szCs w:val="24"/>
        </w:rPr>
      </w:pPr>
    </w:p>
    <w:p w14:paraId="57D634AE" w14:textId="7E4C022E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Number:</w:t>
      </w:r>
      <w:r>
        <w:rPr>
          <w:b/>
          <w:sz w:val="24"/>
          <w:szCs w:val="24"/>
        </w:rPr>
        <w:tab/>
        <w:t>2</w:t>
      </w:r>
      <w:r w:rsidR="00E54B8A">
        <w:rPr>
          <w:b/>
          <w:sz w:val="24"/>
          <w:szCs w:val="24"/>
        </w:rPr>
        <w:t>2-44-RT059</w:t>
      </w:r>
    </w:p>
    <w:p w14:paraId="4FAFEE45" w14:textId="77777777" w:rsidR="005A2469" w:rsidRDefault="005A2469" w:rsidP="005A2469">
      <w:pPr>
        <w:spacing w:after="0"/>
        <w:rPr>
          <w:b/>
          <w:sz w:val="24"/>
          <w:szCs w:val="24"/>
        </w:rPr>
      </w:pPr>
    </w:p>
    <w:p w14:paraId="2B54BEF6" w14:textId="77777777" w:rsidR="005A2469" w:rsidRDefault="005A2469" w:rsidP="005A246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</w:t>
      </w:r>
    </w:p>
    <w:p w14:paraId="6D2E9A70" w14:textId="58A285F5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E54B8A">
        <w:rPr>
          <w:b/>
          <w:sz w:val="24"/>
          <w:szCs w:val="24"/>
        </w:rPr>
        <w:t>59 US RT 2</w:t>
      </w:r>
    </w:p>
    <w:p w14:paraId="2FE7A7EF" w14:textId="77777777" w:rsidR="005A2469" w:rsidRDefault="005A2469" w:rsidP="005A2469">
      <w:pPr>
        <w:spacing w:after="0"/>
        <w:rPr>
          <w:b/>
          <w:sz w:val="24"/>
          <w:szCs w:val="24"/>
        </w:rPr>
      </w:pPr>
    </w:p>
    <w:p w14:paraId="65224F5E" w14:textId="662D7F40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Hearing Date:  </w:t>
      </w:r>
      <w:r w:rsidR="00E54B8A">
        <w:rPr>
          <w:b/>
          <w:sz w:val="24"/>
          <w:szCs w:val="24"/>
        </w:rPr>
        <w:t>January 10, 2022</w:t>
      </w:r>
    </w:p>
    <w:p w14:paraId="704BB74A" w14:textId="77777777" w:rsidR="005A2469" w:rsidRDefault="005A2469" w:rsidP="005A2469">
      <w:pPr>
        <w:spacing w:after="0"/>
        <w:rPr>
          <w:b/>
          <w:sz w:val="24"/>
          <w:szCs w:val="24"/>
        </w:rPr>
      </w:pPr>
    </w:p>
    <w:p w14:paraId="23C39289" w14:textId="462B05C6" w:rsidR="005A2469" w:rsidRDefault="00E54B8A" w:rsidP="005A2469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LPD</w:t>
      </w:r>
      <w:r w:rsidR="001751C7">
        <w:rPr>
          <w:bCs/>
          <w:sz w:val="24"/>
          <w:szCs w:val="24"/>
        </w:rPr>
        <w:t xml:space="preserve"> Holdings</w:t>
      </w:r>
      <w:r>
        <w:rPr>
          <w:bCs/>
          <w:sz w:val="24"/>
          <w:szCs w:val="24"/>
        </w:rPr>
        <w:t>, LLC</w:t>
      </w:r>
      <w:r w:rsidR="005A2469">
        <w:rPr>
          <w:bCs/>
          <w:sz w:val="24"/>
          <w:szCs w:val="24"/>
        </w:rPr>
        <w:t xml:space="preserve"> submitted an application for a </w:t>
      </w:r>
      <w:r w:rsidR="005A2469">
        <w:rPr>
          <w:bCs/>
          <w:sz w:val="24"/>
          <w:szCs w:val="24"/>
          <w:u w:val="single"/>
        </w:rPr>
        <w:t>preliminary</w:t>
      </w:r>
      <w:r w:rsidR="005A2469">
        <w:rPr>
          <w:bCs/>
          <w:sz w:val="24"/>
          <w:szCs w:val="24"/>
        </w:rPr>
        <w:t xml:space="preserve"> site plan review for </w:t>
      </w:r>
      <w:r>
        <w:rPr>
          <w:bCs/>
          <w:sz w:val="24"/>
          <w:szCs w:val="24"/>
        </w:rPr>
        <w:t>the redevelopment of the old Sand Bar Inn location</w:t>
      </w:r>
      <w:r w:rsidR="00286675">
        <w:rPr>
          <w:bCs/>
          <w:sz w:val="24"/>
          <w:szCs w:val="24"/>
        </w:rPr>
        <w:t xml:space="preserve"> at 59 US RT 2.   The proposal includes</w:t>
      </w:r>
      <w:r>
        <w:rPr>
          <w:bCs/>
          <w:sz w:val="24"/>
          <w:szCs w:val="24"/>
        </w:rPr>
        <w:t xml:space="preserve"> a restaurant</w:t>
      </w:r>
      <w:r w:rsidR="00286675">
        <w:rPr>
          <w:bCs/>
          <w:sz w:val="24"/>
          <w:szCs w:val="24"/>
        </w:rPr>
        <w:t>, four 2-household dwelling units, and a single-family dwelling unit.</w:t>
      </w:r>
      <w:r w:rsidR="005A2469">
        <w:rPr>
          <w:bCs/>
          <w:sz w:val="24"/>
          <w:szCs w:val="24"/>
        </w:rPr>
        <w:t xml:space="preserve">  </w:t>
      </w:r>
      <w:r w:rsidR="005A2469">
        <w:rPr>
          <w:sz w:val="24"/>
          <w:szCs w:val="24"/>
        </w:rPr>
        <w:t xml:space="preserve">Per Section 805 of the </w:t>
      </w:r>
      <w:r w:rsidR="00364222">
        <w:rPr>
          <w:sz w:val="24"/>
          <w:szCs w:val="24"/>
        </w:rPr>
        <w:t>October</w:t>
      </w:r>
      <w:r w:rsidR="00286675">
        <w:rPr>
          <w:sz w:val="24"/>
          <w:szCs w:val="24"/>
        </w:rPr>
        <w:t xml:space="preserve"> </w:t>
      </w:r>
      <w:r w:rsidR="005A2469">
        <w:rPr>
          <w:sz w:val="24"/>
          <w:szCs w:val="24"/>
        </w:rPr>
        <w:t>202</w:t>
      </w:r>
      <w:r w:rsidR="00286675">
        <w:rPr>
          <w:sz w:val="24"/>
          <w:szCs w:val="24"/>
        </w:rPr>
        <w:t>1</w:t>
      </w:r>
      <w:r w:rsidR="005A2469">
        <w:rPr>
          <w:sz w:val="24"/>
          <w:szCs w:val="24"/>
        </w:rPr>
        <w:t xml:space="preserve"> South Hero Development Regulations, a warning for the public hearing appeared in the </w:t>
      </w:r>
      <w:r w:rsidR="00C02479">
        <w:rPr>
          <w:sz w:val="24"/>
          <w:szCs w:val="24"/>
        </w:rPr>
        <w:t>December 20, 2021</w:t>
      </w:r>
      <w:r w:rsidR="005A2469">
        <w:rPr>
          <w:sz w:val="24"/>
          <w:szCs w:val="24"/>
        </w:rPr>
        <w:t xml:space="preserve"> issue of the Islander and was posted in the Town Office, the Post Office, and the Town Library, and abutters to the property were notified.  A hearing was held on </w:t>
      </w:r>
      <w:r w:rsidR="00C02479">
        <w:rPr>
          <w:sz w:val="24"/>
          <w:szCs w:val="24"/>
        </w:rPr>
        <w:t>January 1</w:t>
      </w:r>
      <w:r w:rsidR="001751C7">
        <w:rPr>
          <w:sz w:val="24"/>
          <w:szCs w:val="24"/>
        </w:rPr>
        <w:t>2</w:t>
      </w:r>
      <w:r w:rsidR="00C02479">
        <w:rPr>
          <w:sz w:val="24"/>
          <w:szCs w:val="24"/>
        </w:rPr>
        <w:t>, 2022</w:t>
      </w:r>
      <w:r w:rsidR="005A2469">
        <w:rPr>
          <w:sz w:val="24"/>
          <w:szCs w:val="24"/>
        </w:rPr>
        <w:t xml:space="preserve">.  A list of those </w:t>
      </w:r>
      <w:r w:rsidR="00364222">
        <w:rPr>
          <w:sz w:val="24"/>
          <w:szCs w:val="24"/>
        </w:rPr>
        <w:t xml:space="preserve">who were </w:t>
      </w:r>
      <w:r w:rsidR="005A2469">
        <w:rPr>
          <w:sz w:val="24"/>
          <w:szCs w:val="24"/>
        </w:rPr>
        <w:t>present and participat</w:t>
      </w:r>
      <w:r w:rsidR="00364222">
        <w:rPr>
          <w:sz w:val="24"/>
          <w:szCs w:val="24"/>
        </w:rPr>
        <w:t>ed</w:t>
      </w:r>
      <w:r w:rsidR="005A2469">
        <w:rPr>
          <w:sz w:val="24"/>
          <w:szCs w:val="24"/>
        </w:rPr>
        <w:t xml:space="preserve"> is included in the hearing minutes.  </w:t>
      </w:r>
    </w:p>
    <w:p w14:paraId="20D966F7" w14:textId="77777777" w:rsidR="005A2469" w:rsidRDefault="005A2469" w:rsidP="005A2469">
      <w:pPr>
        <w:spacing w:after="0"/>
        <w:rPr>
          <w:sz w:val="24"/>
          <w:szCs w:val="24"/>
        </w:rPr>
      </w:pPr>
    </w:p>
    <w:p w14:paraId="4F4FD95C" w14:textId="77777777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During the course of the hearing, the following exhibits were submitted:</w:t>
      </w:r>
    </w:p>
    <w:p w14:paraId="45529123" w14:textId="77777777" w:rsidR="005A2469" w:rsidRDefault="005A2469" w:rsidP="005A2469">
      <w:pPr>
        <w:spacing w:after="0"/>
        <w:rPr>
          <w:b/>
          <w:sz w:val="24"/>
          <w:szCs w:val="24"/>
        </w:rPr>
      </w:pPr>
    </w:p>
    <w:p w14:paraId="0B96C914" w14:textId="3A41116C" w:rsidR="005A2469" w:rsidRDefault="005A2469" w:rsidP="005A24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of South Hero Development Regulations, effective </w:t>
      </w:r>
      <w:r w:rsidR="00364222">
        <w:rPr>
          <w:sz w:val="24"/>
          <w:szCs w:val="24"/>
        </w:rPr>
        <w:t>October 4, 2021</w:t>
      </w:r>
      <w:r>
        <w:rPr>
          <w:sz w:val="24"/>
          <w:szCs w:val="24"/>
        </w:rPr>
        <w:t>.</w:t>
      </w:r>
    </w:p>
    <w:p w14:paraId="3930A1C1" w14:textId="77777777" w:rsidR="008A1D68" w:rsidRDefault="008A1D68" w:rsidP="008A1D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for Preliminary Site Plan review, dated and rec’d December 16, 2021</w:t>
      </w:r>
    </w:p>
    <w:p w14:paraId="19BA3970" w14:textId="77777777" w:rsidR="008A1D68" w:rsidRDefault="008A1D68" w:rsidP="008A1D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Cover Letter and Narrative, dated Dec. 15, 2021; rec’d Dec. 16, 2021</w:t>
      </w:r>
    </w:p>
    <w:p w14:paraId="183A4CBD" w14:textId="77777777" w:rsidR="008A1D68" w:rsidRDefault="008A1D68" w:rsidP="008A1D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Existing Conditions Site Plan by Trudell Consulting Engineers, Sheet #C1-01, dated Dec. 15, 2021; rec’d Dec. 16, 2021.</w:t>
      </w:r>
    </w:p>
    <w:p w14:paraId="0F9EBA57" w14:textId="77777777" w:rsidR="008A1D68" w:rsidRPr="00BE79DE" w:rsidRDefault="008A1D68" w:rsidP="008A1D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9DE">
        <w:rPr>
          <w:sz w:val="24"/>
          <w:szCs w:val="24"/>
        </w:rPr>
        <w:t>Sketch Plan by Trudell Consulting Engineers, Sheet #C2</w:t>
      </w:r>
      <w:r>
        <w:rPr>
          <w:sz w:val="24"/>
          <w:szCs w:val="24"/>
        </w:rPr>
        <w:t>00, dated Dec. 15, 2021; rec’d Dec. 16, 2021.</w:t>
      </w:r>
    </w:p>
    <w:p w14:paraId="575F609D" w14:textId="77777777" w:rsidR="008A1D68" w:rsidRDefault="008A1D68" w:rsidP="008A1D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2007 Vermont Wastewater System and Potable Water Supply Permit #WW-6- 1271-1.</w:t>
      </w:r>
    </w:p>
    <w:p w14:paraId="010A4C0B" w14:textId="77777777" w:rsidR="008A1D68" w:rsidRDefault="008A1D68" w:rsidP="008A1D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Warning Ad, Abutters’ Notice, and Hearing Letter for Jan. 12, 2022 Preliminary Site Plan review.</w:t>
      </w:r>
    </w:p>
    <w:p w14:paraId="0313EFC8" w14:textId="2A1BC110" w:rsidR="008A1D68" w:rsidRDefault="008A1D68" w:rsidP="008A1D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report by Zoning Administrator for Jan</w:t>
      </w:r>
      <w:r w:rsidR="009F685D">
        <w:rPr>
          <w:sz w:val="24"/>
          <w:szCs w:val="24"/>
        </w:rPr>
        <w:t>uary</w:t>
      </w:r>
      <w:r>
        <w:rPr>
          <w:sz w:val="24"/>
          <w:szCs w:val="24"/>
        </w:rPr>
        <w:t xml:space="preserve"> 12, 2022 hearing.</w:t>
      </w:r>
    </w:p>
    <w:p w14:paraId="7B9892CC" w14:textId="12A782E6" w:rsidR="005A2469" w:rsidRDefault="008A1D68" w:rsidP="005A24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from January 10, 2022</w:t>
      </w:r>
      <w:r w:rsidR="009F685D">
        <w:rPr>
          <w:sz w:val="24"/>
          <w:szCs w:val="24"/>
        </w:rPr>
        <w:t xml:space="preserve"> Preliminary Site Plan Review.</w:t>
      </w:r>
    </w:p>
    <w:p w14:paraId="27449139" w14:textId="77777777" w:rsidR="005A2469" w:rsidRDefault="005A2469" w:rsidP="005A2469">
      <w:pPr>
        <w:spacing w:after="0"/>
        <w:rPr>
          <w:sz w:val="24"/>
          <w:szCs w:val="24"/>
        </w:rPr>
      </w:pPr>
    </w:p>
    <w:p w14:paraId="0C840DF4" w14:textId="72680533" w:rsidR="005A2469" w:rsidRDefault="005A2469" w:rsidP="005A246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Based on the applications, supporting documents, and testimony of </w:t>
      </w:r>
      <w:r w:rsidR="009F685D">
        <w:rPr>
          <w:sz w:val="24"/>
          <w:szCs w:val="24"/>
        </w:rPr>
        <w:t>Jen Desautels (TCE Engineering), Lucy Thayer (TCE Engineering), and Pierre LeBlanc (LPD Holdings LLC),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 Development Review Board makes the following Findings and enters the following decision:</w:t>
      </w:r>
    </w:p>
    <w:p w14:paraId="4117FFBD" w14:textId="77777777" w:rsidR="005A2469" w:rsidRDefault="005A2469" w:rsidP="005A2469">
      <w:pPr>
        <w:spacing w:after="0"/>
        <w:rPr>
          <w:b/>
          <w:sz w:val="24"/>
          <w:szCs w:val="24"/>
        </w:rPr>
      </w:pPr>
    </w:p>
    <w:p w14:paraId="55B652C6" w14:textId="77777777" w:rsidR="00885D1B" w:rsidRDefault="00885D1B" w:rsidP="005A2469">
      <w:pPr>
        <w:spacing w:after="0"/>
        <w:rPr>
          <w:b/>
          <w:sz w:val="24"/>
          <w:szCs w:val="24"/>
        </w:rPr>
      </w:pPr>
    </w:p>
    <w:p w14:paraId="50BAD50B" w14:textId="6877C465" w:rsidR="005A2469" w:rsidRDefault="005A2469" w:rsidP="005A2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Findings: </w:t>
      </w:r>
    </w:p>
    <w:p w14:paraId="2A8BE99A" w14:textId="23093494" w:rsidR="005A2469" w:rsidRDefault="006077A6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59 US RT 2 is a</w:t>
      </w:r>
      <w:r w:rsidR="00950638">
        <w:rPr>
          <w:sz w:val="24"/>
          <w:szCs w:val="24"/>
        </w:rPr>
        <w:t xml:space="preserve"> 4.7-</w:t>
      </w:r>
      <w:r>
        <w:rPr>
          <w:sz w:val="24"/>
          <w:szCs w:val="24"/>
        </w:rPr>
        <w:t>acre</w:t>
      </w:r>
      <w:r w:rsidR="005A2469">
        <w:rPr>
          <w:sz w:val="24"/>
          <w:szCs w:val="24"/>
        </w:rPr>
        <w:t xml:space="preserve"> </w:t>
      </w:r>
      <w:r w:rsidR="00AE18C0">
        <w:rPr>
          <w:sz w:val="24"/>
          <w:szCs w:val="24"/>
        </w:rPr>
        <w:t xml:space="preserve">lakefront </w:t>
      </w:r>
      <w:r w:rsidR="005A2469">
        <w:rPr>
          <w:sz w:val="24"/>
          <w:szCs w:val="24"/>
        </w:rPr>
        <w:t xml:space="preserve">lot </w:t>
      </w:r>
      <w:r>
        <w:rPr>
          <w:sz w:val="24"/>
          <w:szCs w:val="24"/>
        </w:rPr>
        <w:t>i</w:t>
      </w:r>
      <w:r w:rsidR="005A2469">
        <w:rPr>
          <w:sz w:val="24"/>
          <w:szCs w:val="24"/>
        </w:rPr>
        <w:t>n the S</w:t>
      </w:r>
      <w:r>
        <w:rPr>
          <w:sz w:val="24"/>
          <w:szCs w:val="24"/>
        </w:rPr>
        <w:t>horeland Zoning District</w:t>
      </w:r>
      <w:r w:rsidR="00AE18C0">
        <w:rPr>
          <w:sz w:val="24"/>
          <w:szCs w:val="24"/>
        </w:rPr>
        <w:t>, at</w:t>
      </w:r>
      <w:r>
        <w:rPr>
          <w:sz w:val="24"/>
          <w:szCs w:val="24"/>
        </w:rPr>
        <w:t xml:space="preserve"> the location of the old Sand Bar Inn</w:t>
      </w:r>
      <w:r w:rsidR="00AE18C0">
        <w:rPr>
          <w:sz w:val="24"/>
          <w:szCs w:val="24"/>
        </w:rPr>
        <w:t>.  The lot is mostly level with a gentle slope toward the lake.  Part of the lot is</w:t>
      </w:r>
      <w:r w:rsidR="00950638">
        <w:rPr>
          <w:sz w:val="24"/>
          <w:szCs w:val="24"/>
        </w:rPr>
        <w:t xml:space="preserve"> within the Flood Hazard Overlay</w:t>
      </w:r>
      <w:r w:rsidR="00AE18C0">
        <w:rPr>
          <w:sz w:val="24"/>
          <w:szCs w:val="24"/>
        </w:rPr>
        <w:t xml:space="preserve"> and includes</w:t>
      </w:r>
      <w:r w:rsidR="00950638">
        <w:rPr>
          <w:sz w:val="24"/>
          <w:szCs w:val="24"/>
        </w:rPr>
        <w:t xml:space="preserve"> a Class II wetland.</w:t>
      </w:r>
      <w:r w:rsidR="00AE18C0">
        <w:rPr>
          <w:sz w:val="24"/>
          <w:szCs w:val="24"/>
        </w:rPr>
        <w:t xml:space="preserve"> The west side is ledge rising to 35 feet above the remaining area of the lot.</w:t>
      </w:r>
    </w:p>
    <w:p w14:paraId="548D9448" w14:textId="06886117" w:rsidR="005A2469" w:rsidRDefault="00791FF4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LP</w:t>
      </w:r>
      <w:r w:rsidR="006077A6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Holdings </w:t>
      </w:r>
      <w:r w:rsidR="006077A6">
        <w:rPr>
          <w:sz w:val="24"/>
          <w:szCs w:val="24"/>
        </w:rPr>
        <w:t>LLC</w:t>
      </w:r>
      <w:r w:rsidR="005A2469">
        <w:rPr>
          <w:sz w:val="24"/>
          <w:szCs w:val="24"/>
        </w:rPr>
        <w:t xml:space="preserve"> proposes </w:t>
      </w:r>
      <w:r w:rsidR="00950638">
        <w:rPr>
          <w:sz w:val="24"/>
          <w:szCs w:val="24"/>
        </w:rPr>
        <w:t>removing the remaining motel structures and re</w:t>
      </w:r>
      <w:r w:rsidR="00AE18C0">
        <w:rPr>
          <w:sz w:val="24"/>
          <w:szCs w:val="24"/>
        </w:rPr>
        <w:t>placing it with</w:t>
      </w:r>
      <w:r w:rsidR="00950638">
        <w:rPr>
          <w:sz w:val="24"/>
          <w:szCs w:val="24"/>
        </w:rPr>
        <w:t xml:space="preserve"> a mixed-use development</w:t>
      </w:r>
      <w:r w:rsidR="006077A6">
        <w:rPr>
          <w:sz w:val="24"/>
          <w:szCs w:val="24"/>
        </w:rPr>
        <w:t xml:space="preserve"> </w:t>
      </w:r>
      <w:r w:rsidR="00AE18C0">
        <w:rPr>
          <w:sz w:val="24"/>
          <w:szCs w:val="24"/>
        </w:rPr>
        <w:t>consisting of</w:t>
      </w:r>
      <w:r w:rsidR="006077A6">
        <w:rPr>
          <w:sz w:val="24"/>
          <w:szCs w:val="24"/>
        </w:rPr>
        <w:t xml:space="preserve"> a restaurant</w:t>
      </w:r>
      <w:r w:rsidR="00950638">
        <w:rPr>
          <w:sz w:val="24"/>
          <w:szCs w:val="24"/>
        </w:rPr>
        <w:t xml:space="preserve"> and nine dwelling units</w:t>
      </w:r>
      <w:r w:rsidR="006077A6">
        <w:rPr>
          <w:sz w:val="24"/>
          <w:szCs w:val="24"/>
        </w:rPr>
        <w:t>.</w:t>
      </w:r>
      <w:r w:rsidR="00950638">
        <w:rPr>
          <w:sz w:val="24"/>
          <w:szCs w:val="24"/>
        </w:rPr>
        <w:t xml:space="preserve">  The residences are proposed to be four 2-household (townhouse) dwellings and one single-household dwelling unit.  </w:t>
      </w:r>
    </w:p>
    <w:p w14:paraId="77D5E3E5" w14:textId="1BA191B4" w:rsidR="00950638" w:rsidRDefault="00950638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5000sf restaurant is proposed for the north-west side of the lot. The four townhouse dwellings will </w:t>
      </w:r>
      <w:r w:rsidR="00AE18C0">
        <w:rPr>
          <w:sz w:val="24"/>
          <w:szCs w:val="24"/>
        </w:rPr>
        <w:t>be in the general area of</w:t>
      </w:r>
      <w:r>
        <w:rPr>
          <w:sz w:val="24"/>
          <w:szCs w:val="24"/>
        </w:rPr>
        <w:t xml:space="preserve"> the existing structures, and the single-family dwelling is proposed to replace an existing structure </w:t>
      </w:r>
      <w:r w:rsidR="00AE18C0">
        <w:rPr>
          <w:sz w:val="24"/>
          <w:szCs w:val="24"/>
        </w:rPr>
        <w:t xml:space="preserve">on the northeast corner of the lot, adjacent to the home at 53 US RT 2. </w:t>
      </w:r>
    </w:p>
    <w:p w14:paraId="2A78BDAA" w14:textId="0C3565F4" w:rsidR="00AE18C0" w:rsidRDefault="006077A6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an existing </w:t>
      </w:r>
      <w:r w:rsidR="00AE18C0">
        <w:rPr>
          <w:sz w:val="24"/>
          <w:szCs w:val="24"/>
        </w:rPr>
        <w:t xml:space="preserve">2007 </w:t>
      </w:r>
      <w:r>
        <w:rPr>
          <w:sz w:val="24"/>
          <w:szCs w:val="24"/>
        </w:rPr>
        <w:t>State Wastewater and Potable Water permit #</w:t>
      </w:r>
      <w:r w:rsidR="00950638">
        <w:rPr>
          <w:sz w:val="24"/>
          <w:szCs w:val="24"/>
        </w:rPr>
        <w:t>WW</w:t>
      </w:r>
      <w:r w:rsidR="00096788">
        <w:rPr>
          <w:sz w:val="24"/>
          <w:szCs w:val="24"/>
        </w:rPr>
        <w:t>-</w:t>
      </w:r>
      <w:r w:rsidR="00950638">
        <w:rPr>
          <w:sz w:val="24"/>
          <w:szCs w:val="24"/>
        </w:rPr>
        <w:t xml:space="preserve">6-1271-1 </w:t>
      </w:r>
      <w:r>
        <w:rPr>
          <w:sz w:val="24"/>
          <w:szCs w:val="24"/>
        </w:rPr>
        <w:t xml:space="preserve">for an </w:t>
      </w:r>
      <w:r w:rsidR="00950638">
        <w:rPr>
          <w:sz w:val="24"/>
          <w:szCs w:val="24"/>
        </w:rPr>
        <w:t>86-</w:t>
      </w:r>
      <w:r>
        <w:rPr>
          <w:sz w:val="24"/>
          <w:szCs w:val="24"/>
        </w:rPr>
        <w:t xml:space="preserve">seat restaurant and </w:t>
      </w:r>
      <w:r w:rsidR="00950638">
        <w:rPr>
          <w:sz w:val="24"/>
          <w:szCs w:val="24"/>
        </w:rPr>
        <w:t>8</w:t>
      </w:r>
      <w:r>
        <w:rPr>
          <w:sz w:val="24"/>
          <w:szCs w:val="24"/>
        </w:rPr>
        <w:t xml:space="preserve"> dwelling units.</w:t>
      </w:r>
      <w:r w:rsidR="00AE18C0">
        <w:rPr>
          <w:sz w:val="24"/>
          <w:szCs w:val="24"/>
        </w:rPr>
        <w:t xml:space="preserve">  The Applicant’s engineer stated that the existing septic plan may exceed the need for the proposed development.</w:t>
      </w:r>
    </w:p>
    <w:p w14:paraId="4CD27781" w14:textId="3B1B898D" w:rsidR="005A2469" w:rsidRDefault="005A2469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638">
        <w:rPr>
          <w:sz w:val="24"/>
          <w:szCs w:val="24"/>
        </w:rPr>
        <w:t>The Applicant states that the water source may include a well (</w:t>
      </w:r>
      <w:r w:rsidR="00AE18C0">
        <w:rPr>
          <w:sz w:val="24"/>
          <w:szCs w:val="24"/>
        </w:rPr>
        <w:t>shown</w:t>
      </w:r>
      <w:r w:rsidR="00950638">
        <w:rPr>
          <w:sz w:val="24"/>
          <w:szCs w:val="24"/>
        </w:rPr>
        <w:t xml:space="preserve"> on the site plan northwest of the restaurant structure).</w:t>
      </w:r>
    </w:p>
    <w:p w14:paraId="413F6595" w14:textId="1DFEA964" w:rsidR="005A2469" w:rsidRDefault="00950638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four existing curb cuts.  This proposal reduces the number to one. The Applicant stated that VTrans approved the curb cut reduction.</w:t>
      </w:r>
    </w:p>
    <w:p w14:paraId="3828D72D" w14:textId="203FABD0" w:rsidR="005A2469" w:rsidRDefault="00950638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73 parking spaces are proposed for the mixed-use development</w:t>
      </w:r>
      <w:r w:rsidR="00AE18C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18 </w:t>
      </w:r>
      <w:r w:rsidR="00AE18C0">
        <w:rPr>
          <w:sz w:val="24"/>
          <w:szCs w:val="24"/>
        </w:rPr>
        <w:t>spaces will be for dwelling units (9x2)</w:t>
      </w:r>
      <w:r>
        <w:rPr>
          <w:sz w:val="24"/>
          <w:szCs w:val="24"/>
        </w:rPr>
        <w:t xml:space="preserve">, </w:t>
      </w:r>
      <w:r w:rsidR="00AE18C0">
        <w:rPr>
          <w:sz w:val="24"/>
          <w:szCs w:val="24"/>
        </w:rPr>
        <w:t xml:space="preserve">14 for use by the marina across RT 2 (owned by Near Coastal Holdings), and the remaining spaces for the restaurant.  Project Information on the Site Plan notes 12 employees and 26 tables for the restaurant.    </w:t>
      </w:r>
    </w:p>
    <w:p w14:paraId="488DE292" w14:textId="35EE0F53" w:rsidR="00950638" w:rsidRDefault="00950638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existing Wetland delineation from Fall 2021 is good for 5 years. </w:t>
      </w:r>
    </w:p>
    <w:p w14:paraId="11D3AF38" w14:textId="4E9247FA" w:rsidR="005A2469" w:rsidRDefault="00950638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Abutting property owner Emily Ellis (5</w:t>
      </w:r>
      <w:r w:rsidR="00096788">
        <w:rPr>
          <w:sz w:val="24"/>
          <w:szCs w:val="24"/>
        </w:rPr>
        <w:t>3</w:t>
      </w:r>
      <w:r>
        <w:rPr>
          <w:sz w:val="24"/>
          <w:szCs w:val="24"/>
        </w:rPr>
        <w:t xml:space="preserve"> US RT 2) asked if a fence could be placed along the common boundary.</w:t>
      </w:r>
    </w:p>
    <w:p w14:paraId="5CE017B0" w14:textId="0C9F1CA4" w:rsidR="00885D1B" w:rsidRDefault="00F0676F" w:rsidP="005A246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and Applicant agreed that this meeting was a preliminary discussion of the proposal.</w:t>
      </w:r>
    </w:p>
    <w:p w14:paraId="00D40719" w14:textId="77777777" w:rsidR="005A2469" w:rsidRDefault="005A2469" w:rsidP="005A2469">
      <w:pPr>
        <w:spacing w:after="0"/>
        <w:rPr>
          <w:sz w:val="24"/>
          <w:szCs w:val="24"/>
        </w:rPr>
      </w:pPr>
    </w:p>
    <w:p w14:paraId="49EE45A6" w14:textId="77777777" w:rsidR="005A2469" w:rsidRDefault="005A2469" w:rsidP="005A2469">
      <w:pPr>
        <w:spacing w:after="0"/>
        <w:rPr>
          <w:sz w:val="24"/>
          <w:szCs w:val="24"/>
        </w:rPr>
      </w:pPr>
    </w:p>
    <w:sectPr w:rsidR="005A2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7937" w14:textId="77777777" w:rsidR="00642381" w:rsidRDefault="00642381" w:rsidP="00196A13">
      <w:pPr>
        <w:spacing w:after="0" w:line="240" w:lineRule="auto"/>
      </w:pPr>
      <w:r>
        <w:separator/>
      </w:r>
    </w:p>
  </w:endnote>
  <w:endnote w:type="continuationSeparator" w:id="0">
    <w:p w14:paraId="75B788FD" w14:textId="77777777" w:rsidR="00642381" w:rsidRDefault="00642381" w:rsidP="0019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59DD" w14:textId="77777777" w:rsidR="00196A13" w:rsidRDefault="0019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689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83E4E5" w14:textId="1E843781" w:rsidR="00196A13" w:rsidRDefault="00196A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7010BD" w14:textId="77777777" w:rsidR="00196A13" w:rsidRDefault="00196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190D" w14:textId="77777777" w:rsidR="00196A13" w:rsidRDefault="0019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0D9F" w14:textId="77777777" w:rsidR="00642381" w:rsidRDefault="00642381" w:rsidP="00196A13">
      <w:pPr>
        <w:spacing w:after="0" w:line="240" w:lineRule="auto"/>
      </w:pPr>
      <w:r>
        <w:separator/>
      </w:r>
    </w:p>
  </w:footnote>
  <w:footnote w:type="continuationSeparator" w:id="0">
    <w:p w14:paraId="051B572B" w14:textId="77777777" w:rsidR="00642381" w:rsidRDefault="00642381" w:rsidP="0019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4D54" w14:textId="77777777" w:rsidR="00196A13" w:rsidRDefault="0019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2082" w14:textId="3F5E051F" w:rsidR="00196A13" w:rsidRDefault="00196A13">
    <w:pPr>
      <w:pStyle w:val="Header"/>
    </w:pPr>
    <w:r>
      <w:t>Prelim Site Plan-RT059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0141" w14:textId="77777777" w:rsidR="00196A13" w:rsidRDefault="0019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7101"/>
    <w:multiLevelType w:val="hybridMultilevel"/>
    <w:tmpl w:val="664A8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7EA3"/>
    <w:multiLevelType w:val="hybridMultilevel"/>
    <w:tmpl w:val="F47CCF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9771D"/>
    <w:multiLevelType w:val="hybridMultilevel"/>
    <w:tmpl w:val="929A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871"/>
    <w:multiLevelType w:val="hybridMultilevel"/>
    <w:tmpl w:val="3808025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066E7"/>
    <w:multiLevelType w:val="hybridMultilevel"/>
    <w:tmpl w:val="57442534"/>
    <w:lvl w:ilvl="0" w:tplc="0FB4CE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69"/>
    <w:rsid w:val="00095BAB"/>
    <w:rsid w:val="00096788"/>
    <w:rsid w:val="001751C7"/>
    <w:rsid w:val="00196A13"/>
    <w:rsid w:val="00202E17"/>
    <w:rsid w:val="00286675"/>
    <w:rsid w:val="00364222"/>
    <w:rsid w:val="0039788A"/>
    <w:rsid w:val="003B297F"/>
    <w:rsid w:val="004D08AF"/>
    <w:rsid w:val="00571BD3"/>
    <w:rsid w:val="005A2469"/>
    <w:rsid w:val="005C60C6"/>
    <w:rsid w:val="006077A6"/>
    <w:rsid w:val="00642381"/>
    <w:rsid w:val="00645385"/>
    <w:rsid w:val="0066395B"/>
    <w:rsid w:val="006F37AD"/>
    <w:rsid w:val="00784139"/>
    <w:rsid w:val="00791FF4"/>
    <w:rsid w:val="00885D1B"/>
    <w:rsid w:val="008A1D68"/>
    <w:rsid w:val="00912513"/>
    <w:rsid w:val="00950638"/>
    <w:rsid w:val="009F685D"/>
    <w:rsid w:val="00A7355E"/>
    <w:rsid w:val="00AE18C0"/>
    <w:rsid w:val="00AF6B16"/>
    <w:rsid w:val="00B911AC"/>
    <w:rsid w:val="00BA5BE2"/>
    <w:rsid w:val="00C02479"/>
    <w:rsid w:val="00D92504"/>
    <w:rsid w:val="00DC778C"/>
    <w:rsid w:val="00E54B8A"/>
    <w:rsid w:val="00F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78434"/>
  <w15:chartTrackingRefBased/>
  <w15:docId w15:val="{B454DE92-5CB1-4E4D-89E8-19BD8ED1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69"/>
    <w:pPr>
      <w:spacing w:line="252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2469"/>
    <w:pPr>
      <w:keepNext/>
      <w:autoSpaceDE w:val="0"/>
      <w:autoSpaceDN w:val="0"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A246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13"/>
  </w:style>
  <w:style w:type="paragraph" w:styleId="Footer">
    <w:name w:val="footer"/>
    <w:basedOn w:val="Normal"/>
    <w:link w:val="FooterChar"/>
    <w:uiPriority w:val="99"/>
    <w:unhideWhenUsed/>
    <w:rsid w:val="0019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17</cp:revision>
  <cp:lastPrinted>2022-01-26T22:27:00Z</cp:lastPrinted>
  <dcterms:created xsi:type="dcterms:W3CDTF">2022-01-25T18:17:00Z</dcterms:created>
  <dcterms:modified xsi:type="dcterms:W3CDTF">2022-01-31T16:27:00Z</dcterms:modified>
</cp:coreProperties>
</file>