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7B" w:rsidRPr="007B6B52" w:rsidRDefault="0079277B" w:rsidP="0079277B">
      <w:pPr>
        <w:jc w:val="center"/>
        <w:rPr>
          <w:rFonts w:ascii="Calibri" w:hAnsi="Calibri"/>
          <w:b/>
          <w:sz w:val="22"/>
          <w:szCs w:val="22"/>
          <w:u w:val="single"/>
        </w:rPr>
      </w:pPr>
      <w:proofErr w:type="gramStart"/>
      <w:r w:rsidRPr="007B6B52">
        <w:rPr>
          <w:rFonts w:ascii="Calibri" w:hAnsi="Calibri"/>
          <w:b/>
          <w:sz w:val="22"/>
          <w:szCs w:val="22"/>
          <w:u w:val="single"/>
        </w:rPr>
        <w:t>Town of South Hero, Vermont Planning Commission Report in accordance with VSA Title 24, Chapter 117, Subchapter 9, §4441(c).</w:t>
      </w:r>
      <w:proofErr w:type="gramEnd"/>
    </w:p>
    <w:p w:rsidR="0079277B" w:rsidRPr="007B6B52" w:rsidRDefault="0079277B" w:rsidP="0079277B">
      <w:pPr>
        <w:jc w:val="center"/>
        <w:rPr>
          <w:rFonts w:ascii="Calibri" w:hAnsi="Calibri"/>
          <w:b/>
          <w:sz w:val="22"/>
          <w:szCs w:val="22"/>
          <w:u w:val="single"/>
        </w:rPr>
      </w:pPr>
    </w:p>
    <w:p w:rsidR="0079277B" w:rsidRPr="007B6B52" w:rsidRDefault="0079277B" w:rsidP="0079277B">
      <w:pPr>
        <w:jc w:val="center"/>
        <w:rPr>
          <w:rFonts w:ascii="Calibri" w:hAnsi="Calibri"/>
          <w:b/>
          <w:sz w:val="22"/>
          <w:szCs w:val="22"/>
          <w:u w:val="single"/>
        </w:rPr>
      </w:pPr>
      <w:r w:rsidRPr="007B6B52">
        <w:rPr>
          <w:rFonts w:ascii="Calibri" w:hAnsi="Calibri"/>
          <w:b/>
          <w:sz w:val="22"/>
          <w:szCs w:val="22"/>
          <w:u w:val="single"/>
        </w:rPr>
        <w:t xml:space="preserve">Amendments to Development Regulations </w:t>
      </w:r>
    </w:p>
    <w:p w:rsidR="0079277B" w:rsidRPr="007B6B52" w:rsidRDefault="0079277B" w:rsidP="0079277B">
      <w:pPr>
        <w:jc w:val="center"/>
        <w:rPr>
          <w:rFonts w:ascii="Calibri" w:hAnsi="Calibri"/>
          <w:b/>
          <w:sz w:val="22"/>
          <w:szCs w:val="22"/>
          <w:u w:val="single"/>
        </w:rPr>
      </w:pPr>
      <w:r w:rsidRPr="007B6B52">
        <w:rPr>
          <w:rFonts w:ascii="Calibri" w:hAnsi="Calibri"/>
          <w:b/>
          <w:sz w:val="22"/>
          <w:szCs w:val="22"/>
          <w:u w:val="single"/>
        </w:rPr>
        <w:t xml:space="preserve">Adopted on: March </w:t>
      </w:r>
      <w:r w:rsidR="0053437B" w:rsidRPr="007B6B52">
        <w:rPr>
          <w:rFonts w:ascii="Calibri" w:hAnsi="Calibri"/>
          <w:b/>
          <w:sz w:val="22"/>
          <w:szCs w:val="22"/>
          <w:u w:val="single"/>
        </w:rPr>
        <w:t>31</w:t>
      </w:r>
      <w:r w:rsidRPr="007B6B52">
        <w:rPr>
          <w:rFonts w:ascii="Calibri" w:hAnsi="Calibri"/>
          <w:b/>
          <w:sz w:val="22"/>
          <w:szCs w:val="22"/>
          <w:u w:val="single"/>
        </w:rPr>
        <w:t>, 20</w:t>
      </w:r>
      <w:r w:rsidR="0053437B" w:rsidRPr="007B6B52">
        <w:rPr>
          <w:rFonts w:ascii="Calibri" w:hAnsi="Calibri"/>
          <w:b/>
          <w:sz w:val="22"/>
          <w:szCs w:val="22"/>
          <w:u w:val="single"/>
        </w:rPr>
        <w:t>20</w:t>
      </w:r>
    </w:p>
    <w:p w:rsidR="0079277B" w:rsidRPr="007B6B52" w:rsidRDefault="0079277B" w:rsidP="0079277B">
      <w:pPr>
        <w:jc w:val="center"/>
        <w:rPr>
          <w:rFonts w:ascii="Calibri" w:hAnsi="Calibri"/>
          <w:b/>
          <w:sz w:val="22"/>
          <w:szCs w:val="22"/>
          <w:u w:val="single"/>
        </w:rPr>
      </w:pPr>
    </w:p>
    <w:p w:rsidR="0079277B" w:rsidRPr="007B6B52" w:rsidRDefault="0079277B" w:rsidP="0079277B">
      <w:pPr>
        <w:rPr>
          <w:rFonts w:ascii="Calibri" w:hAnsi="Calibri" w:cs="Arial"/>
          <w:b/>
          <w:sz w:val="22"/>
          <w:szCs w:val="22"/>
        </w:rPr>
      </w:pPr>
      <w:r w:rsidRPr="007B6B52">
        <w:rPr>
          <w:rFonts w:ascii="Calibri" w:hAnsi="Calibri" w:cs="Arial"/>
          <w:b/>
          <w:sz w:val="22"/>
          <w:szCs w:val="22"/>
        </w:rPr>
        <w:t>PURPOSE:</w:t>
      </w:r>
    </w:p>
    <w:p w:rsidR="0079277B" w:rsidRPr="007B6B52" w:rsidRDefault="0079277B" w:rsidP="0079277B">
      <w:pPr>
        <w:jc w:val="both"/>
        <w:rPr>
          <w:rFonts w:ascii="Calibri" w:hAnsi="Calibri" w:cs="Arial"/>
          <w:sz w:val="22"/>
          <w:szCs w:val="22"/>
        </w:rPr>
      </w:pPr>
    </w:p>
    <w:p w:rsidR="0079277B" w:rsidRPr="007B6B52" w:rsidRDefault="0079277B" w:rsidP="0079277B">
      <w:pPr>
        <w:jc w:val="both"/>
        <w:rPr>
          <w:rFonts w:ascii="Calibri" w:hAnsi="Calibri" w:cs="Arial"/>
          <w:sz w:val="22"/>
          <w:szCs w:val="22"/>
        </w:rPr>
      </w:pPr>
      <w:r w:rsidRPr="007B6B52">
        <w:rPr>
          <w:rFonts w:ascii="Calibri" w:hAnsi="Calibri" w:cs="Arial"/>
          <w:sz w:val="22"/>
          <w:szCs w:val="22"/>
        </w:rPr>
        <w:t>The purpose of the bylaw is to implement the South Hero Town Plan and to carry out the overall goals and vision of that plan.  This bylaw also furthers the purposes of the Vermont Planning and Development Act, Title 24 V.S.A Chapter 117 (the Act) to promote the health, safety and general welfare of the inhabitants of South Hero, Vermont.</w:t>
      </w:r>
    </w:p>
    <w:p w:rsidR="0079277B" w:rsidRPr="007B6B52" w:rsidRDefault="0079277B" w:rsidP="0079277B">
      <w:pPr>
        <w:jc w:val="both"/>
        <w:rPr>
          <w:rFonts w:ascii="Calibri" w:hAnsi="Calibri"/>
          <w:sz w:val="22"/>
          <w:szCs w:val="22"/>
        </w:rPr>
      </w:pPr>
    </w:p>
    <w:p w:rsidR="0079277B" w:rsidRPr="007B6B52" w:rsidRDefault="0079277B" w:rsidP="0079277B">
      <w:pPr>
        <w:spacing w:after="240"/>
        <w:rPr>
          <w:rFonts w:ascii="Calibri" w:hAnsi="Calibri" w:cs="Arial"/>
          <w:b/>
          <w:sz w:val="22"/>
          <w:szCs w:val="22"/>
        </w:rPr>
      </w:pPr>
      <w:r w:rsidRPr="007B6B52">
        <w:rPr>
          <w:rFonts w:ascii="Calibri" w:hAnsi="Calibri" w:cs="Arial"/>
          <w:b/>
          <w:sz w:val="22"/>
          <w:szCs w:val="22"/>
        </w:rPr>
        <w:t xml:space="preserve">EXPLANATION:  </w:t>
      </w:r>
    </w:p>
    <w:p w:rsidR="0079277B" w:rsidRPr="007B6B52" w:rsidRDefault="0079277B" w:rsidP="0079277B">
      <w:pPr>
        <w:jc w:val="both"/>
        <w:rPr>
          <w:rFonts w:ascii="Calibri" w:hAnsi="Calibri"/>
          <w:sz w:val="22"/>
          <w:szCs w:val="22"/>
        </w:rPr>
      </w:pPr>
      <w:r w:rsidRPr="007B6B52">
        <w:rPr>
          <w:rFonts w:ascii="Calibri" w:hAnsi="Calibri"/>
          <w:sz w:val="22"/>
          <w:szCs w:val="22"/>
        </w:rPr>
        <w:t xml:space="preserve">The following is a summary of proposed amendments to the Town of South Hero Development Regulations previously adopted by the Selectboard and effective on March 25, 2013. </w:t>
      </w:r>
    </w:p>
    <w:p w:rsidR="0079277B" w:rsidRPr="007B6B52" w:rsidRDefault="0079277B" w:rsidP="0079277B">
      <w:pPr>
        <w:jc w:val="both"/>
        <w:rPr>
          <w:rFonts w:ascii="Calibri" w:hAnsi="Calibri"/>
          <w:sz w:val="22"/>
          <w:szCs w:val="22"/>
        </w:rPr>
      </w:pPr>
    </w:p>
    <w:p w:rsidR="0079277B" w:rsidRPr="007B6B52" w:rsidRDefault="0079277B" w:rsidP="0079277B">
      <w:pPr>
        <w:jc w:val="both"/>
        <w:rPr>
          <w:rFonts w:ascii="Calibri" w:hAnsi="Calibri"/>
          <w:sz w:val="22"/>
          <w:szCs w:val="22"/>
        </w:rPr>
      </w:pPr>
      <w:r w:rsidRPr="007B6B52">
        <w:rPr>
          <w:rFonts w:ascii="Calibri" w:hAnsi="Calibri"/>
          <w:sz w:val="22"/>
          <w:szCs w:val="22"/>
        </w:rPr>
        <w:t>The proposed amendments conform with or further the goals contained in the 2015-202</w:t>
      </w:r>
      <w:r w:rsidR="0053437B" w:rsidRPr="007B6B52">
        <w:rPr>
          <w:rFonts w:ascii="Calibri" w:hAnsi="Calibri"/>
          <w:sz w:val="22"/>
          <w:szCs w:val="22"/>
        </w:rPr>
        <w:t>3</w:t>
      </w:r>
      <w:r w:rsidRPr="007B6B52">
        <w:rPr>
          <w:rFonts w:ascii="Calibri" w:hAnsi="Calibri"/>
          <w:sz w:val="22"/>
          <w:szCs w:val="22"/>
        </w:rPr>
        <w:t xml:space="preserve"> South Hero Town Plan. The Development Regulations have been merged into one document titled “Development Regulations for the Town of South Hero, VT.”  The regulations have been organized to provide for easier use by staff, board members, and the public.  Language throughout the regulations has been revised to provide additional clarity and to provide mandatory, enforceable language.  Two new village zoning </w:t>
      </w:r>
      <w:proofErr w:type="gramStart"/>
      <w:r w:rsidRPr="007B6B52">
        <w:rPr>
          <w:rFonts w:ascii="Calibri" w:hAnsi="Calibri"/>
          <w:sz w:val="22"/>
          <w:szCs w:val="22"/>
        </w:rPr>
        <w:t>districts</w:t>
      </w:r>
      <w:proofErr w:type="gramEnd"/>
      <w:r w:rsidRPr="007B6B52">
        <w:rPr>
          <w:rFonts w:ascii="Calibri" w:hAnsi="Calibri"/>
          <w:sz w:val="22"/>
          <w:szCs w:val="22"/>
        </w:rPr>
        <w:t xml:space="preserve"> have been created:  South Hero Village District and the Keeler Bay Village District.  The intent of these districts is to ensure that future development reflects the historic, traditional pattern of development in these areas.  </w:t>
      </w:r>
    </w:p>
    <w:p w:rsidR="0079277B" w:rsidRPr="007B6B52" w:rsidRDefault="0079277B" w:rsidP="0079277B">
      <w:pPr>
        <w:jc w:val="both"/>
        <w:rPr>
          <w:rFonts w:ascii="Calibri" w:hAnsi="Calibri"/>
          <w:sz w:val="22"/>
          <w:szCs w:val="22"/>
        </w:rPr>
      </w:pPr>
    </w:p>
    <w:p w:rsidR="0079277B" w:rsidRPr="007B6B52" w:rsidRDefault="0079277B" w:rsidP="0079277B">
      <w:pPr>
        <w:jc w:val="both"/>
        <w:rPr>
          <w:rFonts w:ascii="Calibri" w:hAnsi="Calibri"/>
          <w:sz w:val="22"/>
          <w:szCs w:val="22"/>
        </w:rPr>
      </w:pPr>
      <w:r w:rsidRPr="007B6B52">
        <w:rPr>
          <w:rFonts w:ascii="Calibri" w:hAnsi="Calibri"/>
          <w:sz w:val="22"/>
          <w:szCs w:val="22"/>
        </w:rPr>
        <w:t>The proposed amendments are compatible with the proposed future uses and densities of the 2015-202</w:t>
      </w:r>
      <w:r w:rsidR="0053437B" w:rsidRPr="007B6B52">
        <w:rPr>
          <w:rFonts w:ascii="Calibri" w:hAnsi="Calibri"/>
          <w:sz w:val="22"/>
          <w:szCs w:val="22"/>
        </w:rPr>
        <w:t>3</w:t>
      </w:r>
      <w:r w:rsidRPr="007B6B52">
        <w:rPr>
          <w:rFonts w:ascii="Calibri" w:hAnsi="Calibri"/>
          <w:sz w:val="22"/>
          <w:szCs w:val="22"/>
        </w:rPr>
        <w:t xml:space="preserve"> South Hero Town Plan. </w:t>
      </w:r>
      <w:r w:rsidR="0053437B" w:rsidRPr="007B6B52">
        <w:rPr>
          <w:rFonts w:ascii="Calibri" w:hAnsi="Calibri"/>
          <w:sz w:val="22"/>
          <w:szCs w:val="22"/>
        </w:rPr>
        <w:t>The</w:t>
      </w:r>
      <w:r w:rsidRPr="007B6B52">
        <w:rPr>
          <w:rFonts w:ascii="Calibri" w:hAnsi="Calibri"/>
          <w:sz w:val="22"/>
          <w:szCs w:val="22"/>
        </w:rPr>
        <w:t xml:space="preserve"> areas of change are listed below:</w:t>
      </w:r>
    </w:p>
    <w:p w:rsidR="0079277B" w:rsidRPr="007B6B52" w:rsidRDefault="0079277B" w:rsidP="0079277B">
      <w:pPr>
        <w:jc w:val="both"/>
        <w:rPr>
          <w:rFonts w:ascii="Calibri" w:hAnsi="Calibri"/>
          <w:sz w:val="22"/>
          <w:szCs w:val="22"/>
        </w:rPr>
      </w:pPr>
    </w:p>
    <w:p w:rsidR="0079277B" w:rsidRPr="007B6B52" w:rsidRDefault="0079277B" w:rsidP="0079277B">
      <w:pPr>
        <w:rPr>
          <w:rFonts w:ascii="Calibri" w:hAnsi="Calibri"/>
          <w:b/>
          <w:sz w:val="22"/>
          <w:szCs w:val="22"/>
          <w:u w:val="single"/>
        </w:rPr>
      </w:pPr>
      <w:r w:rsidRPr="007B6B52">
        <w:rPr>
          <w:rFonts w:ascii="Calibri" w:hAnsi="Calibri"/>
          <w:sz w:val="22"/>
          <w:szCs w:val="22"/>
        </w:rPr>
        <w:tab/>
      </w:r>
      <w:r w:rsidR="002F7800" w:rsidRPr="007B6B52">
        <w:rPr>
          <w:rFonts w:ascii="Calibri" w:hAnsi="Calibri"/>
          <w:b/>
          <w:bCs/>
          <w:sz w:val="22"/>
          <w:szCs w:val="22"/>
          <w:u w:val="single"/>
        </w:rPr>
        <w:t xml:space="preserve">Article II: </w:t>
      </w:r>
      <w:r w:rsidR="0053437B" w:rsidRPr="007B6B52">
        <w:rPr>
          <w:rFonts w:ascii="Calibri" w:hAnsi="Calibri"/>
          <w:b/>
          <w:sz w:val="22"/>
          <w:szCs w:val="22"/>
          <w:u w:val="single"/>
        </w:rPr>
        <w:t>Table 2.1</w:t>
      </w:r>
      <w:r w:rsidRPr="007B6B52">
        <w:rPr>
          <w:rFonts w:ascii="Calibri" w:hAnsi="Calibri"/>
          <w:b/>
          <w:sz w:val="22"/>
          <w:szCs w:val="22"/>
          <w:u w:val="single"/>
        </w:rPr>
        <w:t xml:space="preserve"> – </w:t>
      </w:r>
      <w:r w:rsidR="0053437B" w:rsidRPr="007B6B52">
        <w:rPr>
          <w:rFonts w:ascii="Calibri" w:hAnsi="Calibri"/>
          <w:b/>
          <w:sz w:val="22"/>
          <w:szCs w:val="22"/>
          <w:u w:val="single"/>
        </w:rPr>
        <w:t>Allowed Uses</w:t>
      </w:r>
    </w:p>
    <w:p w:rsidR="0079277B" w:rsidRPr="007B6B52" w:rsidRDefault="0079277B" w:rsidP="0079277B">
      <w:pPr>
        <w:rPr>
          <w:rFonts w:ascii="Calibri" w:hAnsi="Calibri"/>
          <w:b/>
          <w:sz w:val="22"/>
          <w:szCs w:val="22"/>
          <w:u w:val="single"/>
        </w:rPr>
      </w:pPr>
    </w:p>
    <w:p w:rsidR="0079277B" w:rsidRPr="007B6B52" w:rsidRDefault="0053437B" w:rsidP="00F05DFC">
      <w:pPr>
        <w:numPr>
          <w:ilvl w:val="0"/>
          <w:numId w:val="1"/>
        </w:numPr>
        <w:rPr>
          <w:rFonts w:ascii="Calibri" w:hAnsi="Calibri"/>
          <w:sz w:val="22"/>
          <w:szCs w:val="22"/>
        </w:rPr>
      </w:pPr>
      <w:r w:rsidRPr="007B6B52">
        <w:rPr>
          <w:rFonts w:ascii="Calibri" w:hAnsi="Calibri"/>
          <w:sz w:val="22"/>
          <w:szCs w:val="22"/>
        </w:rPr>
        <w:t xml:space="preserve">Under “Commercial Uses – Accessory Uses” the notation ‘P’ (permitted) is proposed to change to C/S (conditionally permitted with site plan review) for </w:t>
      </w:r>
      <w:r w:rsidRPr="007B6B52">
        <w:rPr>
          <w:rFonts w:ascii="Calibri" w:hAnsi="Calibri"/>
          <w:sz w:val="22"/>
          <w:szCs w:val="22"/>
          <w:u w:val="single"/>
        </w:rPr>
        <w:t>all</w:t>
      </w:r>
      <w:r w:rsidRPr="007B6B52">
        <w:rPr>
          <w:rFonts w:ascii="Calibri" w:hAnsi="Calibri"/>
          <w:sz w:val="22"/>
          <w:szCs w:val="22"/>
        </w:rPr>
        <w:t xml:space="preserve"> zoning districts.</w:t>
      </w:r>
    </w:p>
    <w:p w:rsidR="0053437B" w:rsidRPr="007B6B52" w:rsidRDefault="0053437B" w:rsidP="0053437B">
      <w:pPr>
        <w:ind w:left="720"/>
        <w:rPr>
          <w:rFonts w:ascii="Calibri" w:hAnsi="Calibri"/>
          <w:sz w:val="22"/>
          <w:szCs w:val="22"/>
        </w:rPr>
      </w:pPr>
    </w:p>
    <w:p w:rsidR="0079277B" w:rsidRPr="007B6B52" w:rsidRDefault="0053437B" w:rsidP="0079277B">
      <w:pPr>
        <w:numPr>
          <w:ilvl w:val="0"/>
          <w:numId w:val="1"/>
        </w:numPr>
        <w:rPr>
          <w:rFonts w:ascii="Calibri" w:hAnsi="Calibri"/>
          <w:sz w:val="22"/>
          <w:szCs w:val="22"/>
        </w:rPr>
      </w:pPr>
      <w:r w:rsidRPr="007B6B52">
        <w:rPr>
          <w:rFonts w:ascii="Calibri" w:hAnsi="Calibri"/>
          <w:sz w:val="22"/>
          <w:szCs w:val="22"/>
        </w:rPr>
        <w:t>Under “Commercial Uses – Industrial” the notation ‘X’ (prohibited) is proposed to change to C/S (conditionally permitted with site plan review) in the South Hero Village and Keeler Bay Village zoning districts.</w:t>
      </w:r>
    </w:p>
    <w:p w:rsidR="0079277B" w:rsidRPr="007B6B52" w:rsidRDefault="0079277B" w:rsidP="0079277B">
      <w:pPr>
        <w:pStyle w:val="ListParagraph"/>
        <w:rPr>
          <w:rFonts w:ascii="Calibri" w:hAnsi="Calibri"/>
          <w:sz w:val="22"/>
          <w:szCs w:val="22"/>
        </w:rPr>
      </w:pPr>
    </w:p>
    <w:p w:rsidR="0079277B" w:rsidRPr="007B6B52" w:rsidRDefault="007B6B52" w:rsidP="0079277B">
      <w:pPr>
        <w:ind w:left="720"/>
        <w:rPr>
          <w:rFonts w:ascii="Calibri" w:hAnsi="Calibri"/>
          <w:b/>
          <w:sz w:val="22"/>
          <w:szCs w:val="22"/>
          <w:u w:val="single"/>
        </w:rPr>
      </w:pPr>
      <w:r w:rsidRPr="007B6B52">
        <w:rPr>
          <w:rFonts w:ascii="Calibri" w:hAnsi="Calibri"/>
          <w:b/>
          <w:sz w:val="22"/>
          <w:szCs w:val="22"/>
          <w:u w:val="single"/>
        </w:rPr>
        <w:t>P</w:t>
      </w:r>
      <w:r w:rsidR="002F7800" w:rsidRPr="007B6B52">
        <w:rPr>
          <w:rFonts w:ascii="Calibri" w:hAnsi="Calibri"/>
          <w:b/>
          <w:sz w:val="22"/>
          <w:szCs w:val="22"/>
          <w:u w:val="single"/>
        </w:rPr>
        <w:t>er Act 179 – Changes to Accessory Dwelling Legislation</w:t>
      </w:r>
    </w:p>
    <w:p w:rsidR="0079277B" w:rsidRPr="007B6B52" w:rsidRDefault="0079277B" w:rsidP="0079277B">
      <w:pPr>
        <w:rPr>
          <w:rFonts w:ascii="Calibri" w:hAnsi="Calibri"/>
          <w:b/>
          <w:sz w:val="22"/>
          <w:szCs w:val="22"/>
          <w:u w:val="single"/>
        </w:rPr>
      </w:pPr>
    </w:p>
    <w:p w:rsidR="0079277B" w:rsidRPr="007B6B52" w:rsidRDefault="007B6B52" w:rsidP="0079277B">
      <w:pPr>
        <w:numPr>
          <w:ilvl w:val="0"/>
          <w:numId w:val="2"/>
        </w:numPr>
        <w:rPr>
          <w:rFonts w:ascii="Calibri" w:hAnsi="Calibri"/>
          <w:sz w:val="22"/>
          <w:szCs w:val="22"/>
        </w:rPr>
      </w:pPr>
      <w:r w:rsidRPr="007B6B52">
        <w:rPr>
          <w:rFonts w:ascii="Calibri" w:hAnsi="Calibri"/>
          <w:bCs/>
          <w:sz w:val="22"/>
          <w:szCs w:val="22"/>
          <w:u w:val="single"/>
        </w:rPr>
        <w:t>Article III – Conditional Use Review</w:t>
      </w:r>
      <w:proofErr w:type="gramStart"/>
      <w:r w:rsidRPr="007B6B52">
        <w:rPr>
          <w:rFonts w:ascii="Calibri" w:hAnsi="Calibri"/>
          <w:bCs/>
          <w:sz w:val="22"/>
          <w:szCs w:val="22"/>
        </w:rPr>
        <w:t>,</w:t>
      </w:r>
      <w:r w:rsidR="002F7800" w:rsidRPr="007B6B52">
        <w:rPr>
          <w:rFonts w:ascii="Calibri" w:hAnsi="Calibri"/>
          <w:sz w:val="22"/>
          <w:szCs w:val="22"/>
        </w:rPr>
        <w:t xml:space="preserve">  Sec</w:t>
      </w:r>
      <w:proofErr w:type="gramEnd"/>
      <w:r w:rsidR="002F7800" w:rsidRPr="007B6B52">
        <w:rPr>
          <w:rFonts w:ascii="Calibri" w:hAnsi="Calibri"/>
          <w:sz w:val="22"/>
          <w:szCs w:val="22"/>
        </w:rPr>
        <w:t xml:space="preserve">. 302.D.2: Add -- </w:t>
      </w:r>
      <w:r w:rsidR="002F7800" w:rsidRPr="007B6B52">
        <w:rPr>
          <w:rFonts w:ascii="Calibri" w:hAnsi="Calibri"/>
          <w:i/>
          <w:iCs/>
          <w:sz w:val="22"/>
          <w:szCs w:val="22"/>
        </w:rPr>
        <w:t>(a)</w:t>
      </w:r>
      <w:r w:rsidR="002F7800" w:rsidRPr="007B6B52">
        <w:rPr>
          <w:rFonts w:ascii="Calibri" w:hAnsi="Calibri"/>
          <w:sz w:val="22"/>
          <w:szCs w:val="22"/>
        </w:rPr>
        <w:t xml:space="preserve"> </w:t>
      </w:r>
      <w:r w:rsidR="002F7800" w:rsidRPr="007B6B52">
        <w:rPr>
          <w:rFonts w:ascii="Calibri" w:hAnsi="Calibri"/>
          <w:i/>
          <w:iCs/>
          <w:sz w:val="22"/>
          <w:szCs w:val="22"/>
        </w:rPr>
        <w:t>A multi-unit dwelling project consisting of four or fewer units located in a district allowing multi-unit dwellings may not be denied solely due to an undue adverse effect on the character of the area affected.</w:t>
      </w:r>
      <w:r w:rsidR="0079277B" w:rsidRPr="007B6B52">
        <w:rPr>
          <w:rFonts w:ascii="Calibri" w:hAnsi="Calibri"/>
          <w:sz w:val="22"/>
          <w:szCs w:val="22"/>
        </w:rPr>
        <w:t xml:space="preserve"> </w:t>
      </w:r>
    </w:p>
    <w:p w:rsidR="007B6B52" w:rsidRPr="007B6B52" w:rsidRDefault="007B6B52" w:rsidP="007B6B52">
      <w:pPr>
        <w:rPr>
          <w:rFonts w:ascii="Calibri" w:hAnsi="Calibri"/>
          <w:sz w:val="22"/>
          <w:szCs w:val="22"/>
        </w:rPr>
      </w:pPr>
    </w:p>
    <w:p w:rsidR="007B6B52" w:rsidRPr="007B6B52" w:rsidRDefault="007B6B52" w:rsidP="007B6B52">
      <w:pPr>
        <w:pStyle w:val="ListParagraph"/>
        <w:numPr>
          <w:ilvl w:val="0"/>
          <w:numId w:val="2"/>
        </w:numPr>
        <w:rPr>
          <w:rFonts w:ascii="Calibri" w:hAnsi="Calibri"/>
          <w:b/>
          <w:bCs/>
          <w:sz w:val="22"/>
          <w:szCs w:val="22"/>
          <w:u w:val="single"/>
        </w:rPr>
      </w:pPr>
      <w:r w:rsidRPr="007B6B52">
        <w:rPr>
          <w:rFonts w:ascii="Calibri" w:hAnsi="Calibri"/>
          <w:sz w:val="22"/>
          <w:szCs w:val="22"/>
          <w:u w:val="single"/>
        </w:rPr>
        <w:t>Article VII: Specific Uses and Structures</w:t>
      </w:r>
      <w:proofErr w:type="gramStart"/>
      <w:r w:rsidRPr="007B6B52">
        <w:rPr>
          <w:rFonts w:ascii="Calibri" w:hAnsi="Calibri"/>
          <w:sz w:val="22"/>
          <w:szCs w:val="22"/>
        </w:rPr>
        <w:t>,  Sec</w:t>
      </w:r>
      <w:proofErr w:type="gramEnd"/>
      <w:r w:rsidRPr="007B6B52">
        <w:rPr>
          <w:rFonts w:ascii="Calibri" w:hAnsi="Calibri"/>
          <w:sz w:val="22"/>
          <w:szCs w:val="22"/>
        </w:rPr>
        <w:t>. 701.B.1(b):  Decrease percentage from 50% to 30%, increase square footage from 700 to 900, and add “whichever is greater.”</w:t>
      </w:r>
    </w:p>
    <w:p w:rsidR="0079277B" w:rsidRPr="007B6B52" w:rsidRDefault="0079277B" w:rsidP="0079277B">
      <w:pPr>
        <w:ind w:left="720"/>
        <w:rPr>
          <w:rFonts w:ascii="Calibri" w:hAnsi="Calibri"/>
          <w:sz w:val="22"/>
          <w:szCs w:val="22"/>
        </w:rPr>
      </w:pPr>
    </w:p>
    <w:p w:rsidR="0079277B" w:rsidRPr="007B6B52" w:rsidRDefault="0079277B" w:rsidP="0079277B">
      <w:pPr>
        <w:rPr>
          <w:rFonts w:ascii="Calibri" w:hAnsi="Calibri"/>
          <w:sz w:val="22"/>
          <w:szCs w:val="22"/>
        </w:rPr>
      </w:pPr>
    </w:p>
    <w:p w:rsidR="0079277B" w:rsidRPr="007B6B52" w:rsidRDefault="0079277B" w:rsidP="0079277B">
      <w:pPr>
        <w:spacing w:after="300"/>
        <w:ind w:right="360"/>
        <w:jc w:val="both"/>
        <w:rPr>
          <w:rFonts w:ascii="Calibri" w:hAnsi="Calibri" w:cs="Arial"/>
          <w:b/>
          <w:sz w:val="22"/>
          <w:szCs w:val="22"/>
        </w:rPr>
      </w:pPr>
      <w:r w:rsidRPr="007B6B52">
        <w:rPr>
          <w:rFonts w:ascii="Calibri" w:hAnsi="Calibri" w:cs="Arial"/>
          <w:b/>
          <w:sz w:val="22"/>
          <w:szCs w:val="22"/>
        </w:rPr>
        <w:t xml:space="preserve">CONFORMANCE AND IMPLEMENTATION: </w:t>
      </w:r>
    </w:p>
    <w:p w:rsidR="0079277B" w:rsidRPr="007B6B52" w:rsidRDefault="0079277B" w:rsidP="0079277B">
      <w:pPr>
        <w:spacing w:after="300"/>
        <w:ind w:right="360"/>
        <w:jc w:val="both"/>
        <w:rPr>
          <w:rFonts w:ascii="Calibri" w:hAnsi="Calibri" w:cs="Arial"/>
          <w:i/>
          <w:sz w:val="22"/>
          <w:szCs w:val="22"/>
        </w:rPr>
      </w:pPr>
      <w:r w:rsidRPr="007B6B52">
        <w:rPr>
          <w:rFonts w:ascii="Calibri" w:hAnsi="Calibri" w:cs="Arial"/>
          <w:sz w:val="22"/>
          <w:szCs w:val="22"/>
        </w:rPr>
        <w:t xml:space="preserve">The proposed South Hero Development Regulations conform with and further the goals and policies contained in the South Hero Town Plan including all goals and policies pertaining to the availability of safe and affordable housing.  This change has no detrimental effect upon, and is entirely compatible with, the proposed future land uses and densities of the South Hero Town Plan.  The proposed changes do not inhibit nor carry out any specific proposals for any planned community facilities.  </w:t>
      </w:r>
    </w:p>
    <w:p w:rsidR="0079277B" w:rsidRPr="007B6B52" w:rsidRDefault="0079277B" w:rsidP="0079277B">
      <w:pPr>
        <w:rPr>
          <w:rFonts w:ascii="Calibri" w:hAnsi="Calibri"/>
          <w:sz w:val="22"/>
          <w:szCs w:val="22"/>
        </w:rPr>
      </w:pPr>
      <w:r w:rsidRPr="007B6B52">
        <w:rPr>
          <w:rFonts w:ascii="Calibri" w:hAnsi="Calibri"/>
          <w:sz w:val="22"/>
          <w:szCs w:val="22"/>
        </w:rPr>
        <w:tab/>
      </w:r>
    </w:p>
    <w:p w:rsidR="0079277B" w:rsidRPr="007B6B52" w:rsidRDefault="0079277B" w:rsidP="0079277B">
      <w:pPr>
        <w:rPr>
          <w:sz w:val="22"/>
          <w:szCs w:val="22"/>
        </w:rPr>
      </w:pPr>
    </w:p>
    <w:p w:rsidR="003B3992" w:rsidRDefault="004E2C6C"/>
    <w:sectPr w:rsidR="003B3992" w:rsidSect="007316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C6C" w:rsidRDefault="004E2C6C" w:rsidP="000F5BFD">
      <w:r>
        <w:separator/>
      </w:r>
    </w:p>
  </w:endnote>
  <w:endnote w:type="continuationSeparator" w:id="0">
    <w:p w:rsidR="004E2C6C" w:rsidRDefault="004E2C6C" w:rsidP="000F5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FD" w:rsidRDefault="000F5B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985931"/>
      <w:docPartObj>
        <w:docPartGallery w:val="Page Numbers (Bottom of Page)"/>
        <w:docPartUnique/>
      </w:docPartObj>
    </w:sdtPr>
    <w:sdtContent>
      <w:sdt>
        <w:sdtPr>
          <w:id w:val="-1769616900"/>
          <w:docPartObj>
            <w:docPartGallery w:val="Page Numbers (Top of Page)"/>
            <w:docPartUnique/>
          </w:docPartObj>
        </w:sdtPr>
        <w:sdtContent>
          <w:p w:rsidR="000F5BFD" w:rsidRDefault="000F5BFD">
            <w:pPr>
              <w:pStyle w:val="Footer"/>
              <w:jc w:val="right"/>
            </w:pPr>
          </w:p>
          <w:p w:rsidR="000F5BFD" w:rsidRDefault="000F5BFD">
            <w:pPr>
              <w:pStyle w:val="Footer"/>
              <w:jc w:val="right"/>
            </w:pPr>
            <w:r>
              <w:t xml:space="preserve">Page </w:t>
            </w:r>
            <w:r w:rsidR="00731666">
              <w:rPr>
                <w:b/>
                <w:bCs/>
              </w:rPr>
              <w:fldChar w:fldCharType="begin"/>
            </w:r>
            <w:r>
              <w:rPr>
                <w:b/>
                <w:bCs/>
              </w:rPr>
              <w:instrText xml:space="preserve"> PAGE </w:instrText>
            </w:r>
            <w:r w:rsidR="00731666">
              <w:rPr>
                <w:b/>
                <w:bCs/>
              </w:rPr>
              <w:fldChar w:fldCharType="separate"/>
            </w:r>
            <w:r w:rsidR="004F36B2">
              <w:rPr>
                <w:b/>
                <w:bCs/>
                <w:noProof/>
              </w:rPr>
              <w:t>1</w:t>
            </w:r>
            <w:r w:rsidR="00731666">
              <w:rPr>
                <w:b/>
                <w:bCs/>
              </w:rPr>
              <w:fldChar w:fldCharType="end"/>
            </w:r>
            <w:r>
              <w:t xml:space="preserve"> of </w:t>
            </w:r>
            <w:r w:rsidR="00731666">
              <w:rPr>
                <w:b/>
                <w:bCs/>
              </w:rPr>
              <w:fldChar w:fldCharType="begin"/>
            </w:r>
            <w:r>
              <w:rPr>
                <w:b/>
                <w:bCs/>
              </w:rPr>
              <w:instrText xml:space="preserve"> NUMPAGES  </w:instrText>
            </w:r>
            <w:r w:rsidR="00731666">
              <w:rPr>
                <w:b/>
                <w:bCs/>
              </w:rPr>
              <w:fldChar w:fldCharType="separate"/>
            </w:r>
            <w:r w:rsidR="004F36B2">
              <w:rPr>
                <w:b/>
                <w:bCs/>
                <w:noProof/>
              </w:rPr>
              <w:t>2</w:t>
            </w:r>
            <w:r w:rsidR="00731666">
              <w:rPr>
                <w:b/>
                <w:bCs/>
              </w:rPr>
              <w:fldChar w:fldCharType="end"/>
            </w:r>
          </w:p>
        </w:sdtContent>
      </w:sdt>
    </w:sdtContent>
  </w:sdt>
  <w:p w:rsidR="000F5BFD" w:rsidRDefault="000F5B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FD" w:rsidRDefault="000F5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C6C" w:rsidRDefault="004E2C6C" w:rsidP="000F5BFD">
      <w:r>
        <w:separator/>
      </w:r>
    </w:p>
  </w:footnote>
  <w:footnote w:type="continuationSeparator" w:id="0">
    <w:p w:rsidR="004E2C6C" w:rsidRDefault="004E2C6C" w:rsidP="000F5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FD" w:rsidRDefault="000F5B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FD" w:rsidRDefault="000F5B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FD" w:rsidRDefault="000F5B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CDE"/>
    <w:multiLevelType w:val="hybridMultilevel"/>
    <w:tmpl w:val="B39A9688"/>
    <w:lvl w:ilvl="0" w:tplc="B5061540">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14719D"/>
    <w:multiLevelType w:val="hybridMultilevel"/>
    <w:tmpl w:val="AB985DC6"/>
    <w:lvl w:ilvl="0" w:tplc="CEA2DCE4">
      <w:start w:val="1"/>
      <w:numFmt w:val="decimal"/>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F4E500F"/>
    <w:multiLevelType w:val="hybridMultilevel"/>
    <w:tmpl w:val="A0B6F7FC"/>
    <w:lvl w:ilvl="0" w:tplc="41FCE4B2">
      <w:start w:val="1"/>
      <w:numFmt w:val="decimal"/>
      <w:lvlText w:val="(%1)"/>
      <w:lvlJc w:val="right"/>
      <w:pPr>
        <w:ind w:left="720" w:hanging="360"/>
      </w:pPr>
      <w:rPr>
        <w:b w:val="0"/>
      </w:rPr>
    </w:lvl>
    <w:lvl w:ilvl="1" w:tplc="1C0C399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7646C8B"/>
    <w:multiLevelType w:val="hybridMultilevel"/>
    <w:tmpl w:val="C80E4D9A"/>
    <w:lvl w:ilvl="0" w:tplc="B5061540">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89C1098"/>
    <w:multiLevelType w:val="hybridMultilevel"/>
    <w:tmpl w:val="D1B4679E"/>
    <w:lvl w:ilvl="0" w:tplc="B5061540">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8B14AA2"/>
    <w:multiLevelType w:val="hybridMultilevel"/>
    <w:tmpl w:val="D3EEE7BC"/>
    <w:lvl w:ilvl="0" w:tplc="BB20352A">
      <w:start w:val="1"/>
      <w:numFmt w:val="decimal"/>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99028E3"/>
    <w:multiLevelType w:val="hybridMultilevel"/>
    <w:tmpl w:val="C80E4D9A"/>
    <w:lvl w:ilvl="0" w:tplc="B5061540">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2A4094E"/>
    <w:multiLevelType w:val="hybridMultilevel"/>
    <w:tmpl w:val="D3EEE7BC"/>
    <w:lvl w:ilvl="0" w:tplc="BB20352A">
      <w:start w:val="1"/>
      <w:numFmt w:val="decimal"/>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641151A"/>
    <w:multiLevelType w:val="hybridMultilevel"/>
    <w:tmpl w:val="F788AADC"/>
    <w:lvl w:ilvl="0" w:tplc="BB20352A">
      <w:start w:val="1"/>
      <w:numFmt w:val="decimal"/>
      <w:lvlText w:val="(%1)"/>
      <w:lvlJc w:val="right"/>
      <w:pPr>
        <w:ind w:left="720" w:hanging="360"/>
      </w:pPr>
      <w:rPr>
        <w:b w:val="0"/>
      </w:rPr>
    </w:lvl>
    <w:lvl w:ilvl="1" w:tplc="4DC295D2">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C925EC0"/>
    <w:multiLevelType w:val="hybridMultilevel"/>
    <w:tmpl w:val="C80E4D9A"/>
    <w:lvl w:ilvl="0" w:tplc="B5061540">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277B"/>
    <w:rsid w:val="000F5BFD"/>
    <w:rsid w:val="00166AB7"/>
    <w:rsid w:val="002F7800"/>
    <w:rsid w:val="0039788A"/>
    <w:rsid w:val="004E2C6C"/>
    <w:rsid w:val="004F36B2"/>
    <w:rsid w:val="0053437B"/>
    <w:rsid w:val="0066395B"/>
    <w:rsid w:val="00693EA5"/>
    <w:rsid w:val="00731666"/>
    <w:rsid w:val="0079277B"/>
    <w:rsid w:val="007B6B52"/>
    <w:rsid w:val="00C87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7B"/>
    <w:pPr>
      <w:ind w:left="720"/>
    </w:pPr>
  </w:style>
  <w:style w:type="paragraph" w:styleId="Header">
    <w:name w:val="header"/>
    <w:basedOn w:val="Normal"/>
    <w:link w:val="HeaderChar"/>
    <w:uiPriority w:val="99"/>
    <w:unhideWhenUsed/>
    <w:rsid w:val="000F5BFD"/>
    <w:pPr>
      <w:tabs>
        <w:tab w:val="center" w:pos="4680"/>
        <w:tab w:val="right" w:pos="9360"/>
      </w:tabs>
    </w:pPr>
  </w:style>
  <w:style w:type="character" w:customStyle="1" w:styleId="HeaderChar">
    <w:name w:val="Header Char"/>
    <w:basedOn w:val="DefaultParagraphFont"/>
    <w:link w:val="Header"/>
    <w:uiPriority w:val="99"/>
    <w:rsid w:val="000F5B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5BFD"/>
    <w:pPr>
      <w:tabs>
        <w:tab w:val="center" w:pos="4680"/>
        <w:tab w:val="right" w:pos="9360"/>
      </w:tabs>
    </w:pPr>
  </w:style>
  <w:style w:type="character" w:customStyle="1" w:styleId="FooterChar">
    <w:name w:val="Footer Char"/>
    <w:basedOn w:val="DefaultParagraphFont"/>
    <w:link w:val="Footer"/>
    <w:uiPriority w:val="99"/>
    <w:rsid w:val="000F5BF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76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Hero Zoning</dc:creator>
  <cp:lastModifiedBy>Owner</cp:lastModifiedBy>
  <cp:revision>2</cp:revision>
  <cp:lastPrinted>2021-05-20T18:48:00Z</cp:lastPrinted>
  <dcterms:created xsi:type="dcterms:W3CDTF">2021-08-19T15:04:00Z</dcterms:created>
  <dcterms:modified xsi:type="dcterms:W3CDTF">2021-08-19T15:04:00Z</dcterms:modified>
</cp:coreProperties>
</file>